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56" w:beforeLines="50" w:after="156" w:afterLines="50"/>
        <w:rPr>
          <w:b/>
        </w:rPr>
      </w:pPr>
      <w:r>
        <w:rPr>
          <w:rFonts w:ascii="Calibri" w:hAnsi="Calibri" w:eastAsia="宋体" w:cs="黑体"/>
          <w:kern w:val="2"/>
          <w:sz w:val="21"/>
          <w:szCs w:val="22"/>
          <w:lang w:val="en-US" w:eastAsia="zh-CN" w:bidi="ar-SA"/>
        </w:rPr>
        <w:pict>
          <v:shape id="图片 2" o:spid="_x0000_s1030" type="#_x0000_t75" style="position:absolute;left:0;margin-left:81.75pt;margin-top:-33pt;height:40.7pt;width:120.7pt;rotation:0f;z-index:251661312;"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ascii="黑体" w:hAnsi="华文中宋" w:eastAsia="黑体" w:cs="黑体"/>
          <w:kern w:val="2"/>
          <w:sz w:val="32"/>
          <w:szCs w:val="22"/>
          <w:lang w:val="en-US" w:eastAsia="zh-CN" w:bidi="ar-SA"/>
        </w:rPr>
        <w:pict>
          <v:shape id="图片 4" o:spid="_x0000_s1031" type="#_x0000_t75" style="position:absolute;left:0;margin-left:-52.5pt;margin-top:-27pt;height:30.4pt;width:120pt;rotation:0f;z-index:251660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rPr>
          <w:b/>
        </w:rPr>
      </w:pPr>
    </w:p>
    <w:p>
      <w:pPr>
        <w:spacing w:before="156" w:beforeLines="50" w:after="156" w:afterLines="50"/>
        <w:rPr>
          <w:b/>
        </w:rPr>
      </w:pPr>
    </w:p>
    <w:p>
      <w:pPr>
        <w:spacing w:before="156" w:beforeLines="50" w:after="156" w:afterLines="50"/>
        <w:rPr>
          <w:b/>
        </w:rPr>
      </w:pPr>
    </w:p>
    <w:p>
      <w:pPr>
        <w:spacing w:before="156" w:beforeLines="50" w:after="156" w:afterLines="50"/>
        <w:rPr>
          <w:b/>
        </w:rPr>
      </w:pPr>
    </w:p>
    <w:p>
      <w:pPr>
        <w:spacing w:before="156" w:beforeLines="50" w:after="156" w:afterLines="50"/>
        <w:jc w:val="center"/>
        <w:rPr>
          <w:rFonts w:ascii="黑体" w:eastAsia="黑体"/>
          <w:b/>
          <w:sz w:val="52"/>
          <w:szCs w:val="52"/>
        </w:rPr>
      </w:pPr>
      <w:r>
        <w:rPr>
          <w:rFonts w:hint="eastAsia" w:ascii="黑体" w:eastAsia="黑体"/>
          <w:b/>
          <w:sz w:val="52"/>
          <w:szCs w:val="52"/>
        </w:rPr>
        <w:t>普益标准·银行理财能力排名报告</w:t>
      </w:r>
    </w:p>
    <w:p>
      <w:pPr>
        <w:spacing w:before="156" w:beforeLines="50" w:after="156" w:afterLines="50"/>
        <w:jc w:val="center"/>
      </w:pPr>
      <w:r>
        <w:rPr>
          <w:rFonts w:hint="eastAsia" w:ascii="黑体" w:eastAsia="黑体"/>
          <w:b/>
          <w:sz w:val="52"/>
          <w:szCs w:val="52"/>
        </w:rPr>
        <w:t>（2015年2季度）</w:t>
      </w: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ind w:firstLine="643" w:firstLineChars="200"/>
        <w:rPr>
          <w:rFonts w:ascii="黑体" w:eastAsia="黑体"/>
          <w:b/>
          <w:color w:val="000000"/>
          <w:sz w:val="32"/>
          <w:szCs w:val="32"/>
        </w:rPr>
      </w:pPr>
      <w:r>
        <w:rPr>
          <w:rFonts w:hint="eastAsia" w:ascii="黑体" w:eastAsia="黑体"/>
          <w:b/>
          <w:color w:val="000000"/>
          <w:sz w:val="32"/>
          <w:szCs w:val="32"/>
        </w:rPr>
        <w:t>发布机构：普益财富</w:t>
      </w:r>
    </w:p>
    <w:p>
      <w:pPr>
        <w:spacing w:before="156" w:beforeLines="50" w:after="156" w:afterLines="50"/>
        <w:ind w:firstLine="643" w:firstLineChars="200"/>
        <w:rPr>
          <w:rFonts w:ascii="黑体" w:eastAsia="黑体"/>
          <w:b/>
          <w:color w:val="000000"/>
          <w:sz w:val="32"/>
          <w:szCs w:val="32"/>
        </w:rPr>
      </w:pPr>
      <w:r>
        <w:rPr>
          <w:rFonts w:hint="eastAsia" w:ascii="黑体" w:eastAsia="黑体"/>
          <w:b/>
          <w:color w:val="000000"/>
          <w:sz w:val="32"/>
          <w:szCs w:val="32"/>
        </w:rPr>
        <w:t>研究支持：西南财经大学信托与理财研究所</w:t>
      </w:r>
    </w:p>
    <w:p>
      <w:pPr>
        <w:widowControl/>
        <w:jc w:val="left"/>
      </w:pPr>
      <w:r>
        <w:br w:type="page"/>
      </w:r>
    </w:p>
    <w:p>
      <w:pPr>
        <w:spacing w:before="156" w:beforeLines="50" w:after="156" w:afterLines="50"/>
      </w:pPr>
      <w:r>
        <w:rPr>
          <w:rFonts w:ascii="Calibri" w:hAnsi="Calibri" w:eastAsia="宋体" w:cs="黑体"/>
          <w:kern w:val="2"/>
          <w:sz w:val="21"/>
          <w:szCs w:val="22"/>
          <w:lang w:val="en-US" w:eastAsia="zh-CN" w:bidi="ar-SA"/>
        </w:rPr>
        <w:pict>
          <v:rect id="Text Box 3" o:spid="_x0000_s1032" style="position:absolute;left:0;margin-left:159.75pt;margin-top:23.4pt;height:709.8pt;width:311.25pt;rotation:0f;z-index:251659264;" o:ole="f" fillcolor="#FFFFFF" filled="t" o:preferrelative="t" stroked="f" coordsize="21600,21600">
            <v:imagedata gain="65536f" blacklevel="0f" gamma="0"/>
            <o:lock v:ext="edit" position="f" selection="f" grouping="f" rotation="f" cropping="f" text="f" aspectratio="f"/>
            <v:textbox>
              <w:txbxContent>
                <w:p>
                  <w:pPr>
                    <w:spacing w:before="156" w:beforeLines="50" w:after="156" w:afterLines="50"/>
                    <w:rPr>
                      <w:rFonts w:ascii="楷体_GB2312" w:eastAsia="楷体_GB2312"/>
                      <w:b/>
                      <w:sz w:val="24"/>
                      <w:szCs w:val="24"/>
                    </w:rPr>
                  </w:pPr>
                  <w:r>
                    <w:rPr>
                      <w:rFonts w:hint="eastAsia" w:ascii="楷体_GB2312" w:hAnsi="宋体" w:eastAsia="楷体_GB2312"/>
                      <w:b/>
                      <w:sz w:val="24"/>
                      <w:szCs w:val="24"/>
                    </w:rPr>
                    <w:t>摘　要：</w:t>
                  </w:r>
                </w:p>
                <w:p>
                  <w:pPr>
                    <w:spacing w:before="156" w:beforeLines="50" w:after="156" w:afterLines="50"/>
                    <w:rPr>
                      <w:rFonts w:ascii="楷体_GB2312" w:hAnsi="宋体" w:eastAsia="楷体_GB2312" w:cs="SimSun-Identity-H"/>
                      <w:kern w:val="0"/>
                      <w:sz w:val="24"/>
                      <w:szCs w:val="24"/>
                    </w:rPr>
                  </w:pPr>
                  <w:r>
                    <w:rPr>
                      <w:rFonts w:hint="eastAsia" w:ascii="楷体_GB2312" w:hAnsi="宋体" w:eastAsia="楷体_GB2312" w:cs="SimSun-Identity-H"/>
                      <w:kern w:val="0"/>
                      <w:sz w:val="24"/>
                      <w:szCs w:val="24"/>
                    </w:rPr>
                    <w:t>2015年2季度，银行理财能力单项排名和综合排名结果如下：</w:t>
                  </w:r>
                </w:p>
                <w:p>
                  <w:pPr>
                    <w:numPr>
                      <w:ilvl w:val="0"/>
                      <w:numId w:val="1"/>
                    </w:numPr>
                    <w:spacing w:before="156" w:beforeLines="50" w:after="156" w:afterLines="50"/>
                    <w:rPr>
                      <w:rFonts w:ascii="楷体_GB2312" w:hAnsi="宋体" w:eastAsia="楷体_GB2312" w:cs="SimSun-Identity-H"/>
                      <w:kern w:val="0"/>
                      <w:sz w:val="24"/>
                      <w:szCs w:val="24"/>
                    </w:rPr>
                  </w:pPr>
                  <w:r>
                    <w:rPr>
                      <w:rFonts w:hint="eastAsia" w:ascii="楷体_GB2312" w:hAnsi="宋体" w:eastAsia="楷体_GB2312" w:cs="SimSun-Identity-H"/>
                      <w:kern w:val="0"/>
                      <w:sz w:val="24"/>
                      <w:szCs w:val="24"/>
                    </w:rPr>
                    <w:t>发行能力排名前五的全国性银行依次为招商银行、交通银行、平安银行、民生银行和农业银行。发行能力排名前十的区域性银行依次为南京银行、杭州银行、江苏银行、上海银行、青岛银行、北京银行、东莞银行、珠海华润银行、稠州银行和上海农商银行。</w:t>
                  </w:r>
                </w:p>
                <w:p>
                  <w:pPr>
                    <w:numPr>
                      <w:ilvl w:val="0"/>
                      <w:numId w:val="1"/>
                    </w:numPr>
                    <w:spacing w:before="156" w:beforeLines="50" w:after="156" w:afterLines="50"/>
                    <w:rPr>
                      <w:rFonts w:ascii="楷体_GB2312" w:hAnsi="宋体" w:eastAsia="楷体_GB2312" w:cs="SimSun-Identity-H"/>
                      <w:kern w:val="0"/>
                      <w:sz w:val="24"/>
                      <w:szCs w:val="24"/>
                    </w:rPr>
                  </w:pPr>
                  <w:r>
                    <w:rPr>
                      <w:rFonts w:hint="eastAsia" w:ascii="楷体_GB2312" w:hAnsi="宋体" w:eastAsia="楷体_GB2312" w:cs="SimSun-Identity-H"/>
                      <w:kern w:val="0"/>
                      <w:sz w:val="24"/>
                      <w:szCs w:val="24"/>
                    </w:rPr>
                    <w:t>收益能力排名前五的全国性银行依次为平安银行、招商银行、交通银行、光大银行和兴业银行。收益能力排名前十的区域性银行依次为官渡农合行、云南红塔农合商、南京银行、东莞银行、江苏宜兴农商银行、宁波东海银行、北京银行、瑞丰银行、龙湾农商银行、青岛银行。</w:t>
                  </w:r>
                </w:p>
                <w:p>
                  <w:pPr>
                    <w:numPr>
                      <w:ilvl w:val="0"/>
                      <w:numId w:val="1"/>
                    </w:numPr>
                    <w:spacing w:before="156" w:beforeLines="50" w:after="156" w:afterLines="50"/>
                    <w:rPr>
                      <w:rFonts w:ascii="楷体_GB2312" w:hAnsi="宋体" w:eastAsia="楷体_GB2312" w:cs="SimSun-Identity-H"/>
                      <w:kern w:val="0"/>
                      <w:sz w:val="24"/>
                      <w:szCs w:val="24"/>
                    </w:rPr>
                  </w:pPr>
                  <w:r>
                    <w:rPr>
                      <w:rFonts w:hint="eastAsia" w:ascii="楷体_GB2312" w:hAnsi="宋体" w:eastAsia="楷体_GB2312" w:cs="SimSun-Identity-H"/>
                      <w:kern w:val="0"/>
                      <w:sz w:val="24"/>
                      <w:szCs w:val="24"/>
                    </w:rPr>
                    <w:t>风险控制能力排名前五的全国性银行依次为民生银行、兴业银行、邮储银行、招商银行和工商银行。风险控制能力排名前十的区域性银行依次为江苏银行、南京银行、青岛银行、珠海华润银行、宁波银行、东莞银行、稠州银行、海峡银行、河北银行和德阳银行。</w:t>
                  </w:r>
                </w:p>
                <w:p>
                  <w:pPr>
                    <w:numPr>
                      <w:ilvl w:val="0"/>
                      <w:numId w:val="1"/>
                    </w:numPr>
                    <w:spacing w:before="156" w:beforeLines="50" w:after="156" w:afterLines="50"/>
                    <w:rPr>
                      <w:rFonts w:ascii="楷体_GB2312" w:hAnsi="宋体" w:eastAsia="楷体_GB2312" w:cs="SimSun-Identity-H"/>
                      <w:kern w:val="0"/>
                      <w:sz w:val="24"/>
                      <w:szCs w:val="24"/>
                    </w:rPr>
                  </w:pPr>
                  <w:r>
                    <w:rPr>
                      <w:rFonts w:hint="eastAsia" w:ascii="楷体_GB2312" w:hAnsi="宋体" w:eastAsia="楷体_GB2312" w:cs="SimSun-Identity-H"/>
                      <w:kern w:val="0"/>
                      <w:sz w:val="24"/>
                      <w:szCs w:val="24"/>
                    </w:rPr>
                    <w:t>理财产品丰富性排名前五的全国性银行依次为中信银行、交通银行、光大银行、招商银行和兴业银行。理财产品丰富性排名前十的区域性银行依次为东莞银行、哈尔滨银行、北京银行、杭州银行、河北银行、南京银行、青岛银行、江苏银行、富滇银行和广州农商银行。</w:t>
                  </w:r>
                </w:p>
                <w:p>
                  <w:pPr>
                    <w:numPr>
                      <w:ilvl w:val="0"/>
                      <w:numId w:val="1"/>
                    </w:numPr>
                    <w:spacing w:before="156" w:beforeLines="50" w:after="156" w:afterLines="50"/>
                    <w:rPr>
                      <w:rFonts w:ascii="楷体_GB2312" w:hAnsi="宋体" w:eastAsia="楷体_GB2312" w:cs="SimSun-Identity-H"/>
                      <w:kern w:val="0"/>
                      <w:sz w:val="24"/>
                      <w:szCs w:val="24"/>
                    </w:rPr>
                  </w:pPr>
                  <w:r>
                    <w:rPr>
                      <w:rFonts w:hint="eastAsia" w:ascii="楷体_GB2312" w:hAnsi="宋体" w:eastAsia="楷体_GB2312" w:cs="SimSun-Identity-H"/>
                      <w:kern w:val="0"/>
                      <w:sz w:val="24"/>
                      <w:szCs w:val="24"/>
                    </w:rPr>
                    <w:t>信息披露规范性排名前五的全国性银行依次为招商银行、浙商银行、兴业银行、民生银行和华夏银行。信息披露规范性排名前十的区域性银行依次为南京银行、青岛银行、宁波银行、锦州银行、苏州银行、江苏银行、珠海华润银行、南海农商银行、北部湾银行和莱商银行。</w:t>
                  </w:r>
                </w:p>
                <w:p>
                  <w:pPr>
                    <w:numPr>
                      <w:ilvl w:val="0"/>
                      <w:numId w:val="1"/>
                    </w:numPr>
                    <w:spacing w:before="156" w:beforeLines="50" w:after="156" w:afterLines="50"/>
                    <w:rPr>
                      <w:rFonts w:ascii="宋体" w:hAnsi="宋体"/>
                      <w:sz w:val="24"/>
                      <w:szCs w:val="24"/>
                    </w:rPr>
                  </w:pPr>
                  <w:r>
                    <w:rPr>
                      <w:rFonts w:hint="eastAsia" w:ascii="楷体_GB2312" w:hAnsi="宋体" w:eastAsia="楷体_GB2312" w:cs="SimSun-Identity-H"/>
                      <w:kern w:val="0"/>
                      <w:sz w:val="24"/>
                      <w:szCs w:val="24"/>
                    </w:rPr>
                    <w:t>理财能力综合排名前五的全国性银行依次为兴业银行、招商银行、民生银行、工商银行和光大银行。理财能力综合排名前十的区域性银行依次为南京银行、江苏银行、北京银行、青岛银行、东莞银行、珠海华润银行、哈尔滨银行、南海农商银行、海峡银行和富滇银行。</w:t>
                  </w:r>
                </w:p>
              </w:txbxContent>
            </v:textbox>
          </v:rect>
        </w:pict>
      </w:r>
      <w:r>
        <w:rPr>
          <w:rFonts w:ascii="Calibri" w:hAnsi="Calibri" w:eastAsia="宋体" w:cs="黑体"/>
          <w:kern w:val="2"/>
          <w:sz w:val="21"/>
          <w:szCs w:val="22"/>
          <w:lang w:val="en-US" w:eastAsia="zh-CN" w:bidi="ar-SA"/>
        </w:rPr>
        <w:pict>
          <v:rect id="Text Box 2" o:spid="_x0000_s1033" style="position:absolute;left:0;margin-left:-55.85pt;margin-top:23.4pt;height:709.8pt;width:211.85pt;rotation:0f;z-index:251658240;" o:ole="f" fillcolor="#DFDFDE" filled="t" o:preferrelative="t" stroked="f" coordsize="21600,21600">
            <v:imagedata gain="65536f" blacklevel="0f" gamma="0"/>
            <o:lock v:ext="edit" position="f" selection="f" grouping="f" rotation="f" cropping="f" text="f" aspectratio="f"/>
            <v:textbox>
              <w:txbxContent>
                <w:p>
                  <w:pPr>
                    <w:spacing w:before="156" w:beforeLines="50" w:after="156" w:afterLines="50" w:line="360" w:lineRule="auto"/>
                    <w:rPr>
                      <w:rFonts w:ascii="楷体_GB2312" w:hAnsi="宋体" w:eastAsia="楷体_GB2312" w:cs="宋体"/>
                      <w:color w:val="000000"/>
                      <w:kern w:val="0"/>
                      <w:szCs w:val="21"/>
                      <w:lang w:val="zh-CN"/>
                    </w:rPr>
                  </w:pPr>
                </w:p>
                <w:p>
                  <w:pPr>
                    <w:spacing w:before="156" w:beforeLines="50" w:after="156" w:afterLines="50" w:line="360" w:lineRule="auto"/>
                    <w:rPr>
                      <w:rFonts w:ascii="楷体_GB2312" w:hAnsi="宋体" w:eastAsia="楷体_GB2312"/>
                      <w:szCs w:val="21"/>
                    </w:rPr>
                  </w:pPr>
                  <w:r>
                    <w:rPr>
                      <w:rFonts w:hint="eastAsia" w:ascii="楷体_GB2312" w:hAnsi="宋体" w:eastAsia="楷体_GB2312" w:cs="宋体"/>
                      <w:b/>
                      <w:color w:val="000000"/>
                      <w:kern w:val="0"/>
                      <w:szCs w:val="21"/>
                      <w:lang w:val="zh-CN"/>
                    </w:rPr>
                    <w:t>研究员</w:t>
                  </w:r>
                  <w:r>
                    <w:rPr>
                      <w:rFonts w:hint="eastAsia" w:ascii="楷体_GB2312" w:hAnsi="宋体" w:eastAsia="楷体_GB2312" w:cs="宋体"/>
                      <w:color w:val="000000"/>
                      <w:kern w:val="0"/>
                      <w:szCs w:val="21"/>
                      <w:lang w:val="zh-CN"/>
                    </w:rPr>
                    <w:t>： 魏骥遥  李林夏</w:t>
                  </w:r>
                </w:p>
                <w:p>
                  <w:pPr>
                    <w:spacing w:before="50" w:after="156" w:afterLines="50" w:line="360" w:lineRule="auto"/>
                    <w:rPr>
                      <w:rFonts w:hint="eastAsia" w:ascii="楷体_GB2312" w:hAnsi="宋体" w:eastAsia="楷体_GB2312"/>
                      <w:szCs w:val="21"/>
                    </w:rPr>
                  </w:pPr>
                  <w:r>
                    <w:rPr>
                      <w:rFonts w:hint="eastAsia" w:ascii="楷体_GB2312" w:hAnsi="宋体" w:eastAsia="楷体_GB2312"/>
                      <w:szCs w:val="21"/>
                    </w:rPr>
                    <w:t>联系电话：（028）8</w:t>
                  </w:r>
                  <w:r>
                    <w:rPr>
                      <w:rFonts w:hint="eastAsia" w:ascii="楷体_GB2312" w:hAnsi="宋体" w:eastAsia="楷体_GB2312"/>
                      <w:szCs w:val="21"/>
                      <w:lang w:val="en-US" w:eastAsia="zh-CN"/>
                    </w:rPr>
                    <w:t>6616110</w:t>
                  </w:r>
                </w:p>
                <w:p>
                  <w:pPr>
                    <w:spacing w:before="50" w:after="156" w:afterLines="50" w:line="360" w:lineRule="auto"/>
                    <w:rPr>
                      <w:rFonts w:ascii="楷体_GB2312" w:hAnsi="宋体" w:eastAsia="楷体_GB2312"/>
                      <w:szCs w:val="21"/>
                    </w:rPr>
                  </w:pPr>
                  <w:r>
                    <w:rPr>
                      <w:rFonts w:hint="eastAsia" w:ascii="楷体_GB2312" w:hAnsi="宋体" w:eastAsia="楷体_GB2312"/>
                      <w:szCs w:val="21"/>
                    </w:rPr>
                    <w:t>发布时间：2015年07月27日</w:t>
                  </w:r>
                </w:p>
                <w:p>
                  <w:pPr>
                    <w:spacing w:before="50" w:after="156" w:afterLines="50" w:line="360" w:lineRule="auto"/>
                    <w:rPr>
                      <w:rFonts w:ascii="楷体_GB2312" w:hAnsi="宋体" w:eastAsia="楷体_GB2312"/>
                      <w:szCs w:val="21"/>
                    </w:rPr>
                  </w:pPr>
                </w:p>
                <w:p>
                  <w:pPr>
                    <w:spacing w:before="50" w:after="156" w:afterLines="50" w:line="360" w:lineRule="auto"/>
                    <w:rPr>
                      <w:rFonts w:ascii="楷体_GB2312" w:hAnsi="宋体" w:eastAsia="楷体_GB2312"/>
                      <w:szCs w:val="21"/>
                    </w:rPr>
                  </w:pPr>
                  <w:r>
                    <w:rPr>
                      <w:rFonts w:hint="eastAsia" w:ascii="楷体_GB2312" w:hAnsi="宋体" w:eastAsia="楷体_GB2312"/>
                      <w:b/>
                      <w:szCs w:val="21"/>
                    </w:rPr>
                    <w:t>发布机构</w:t>
                  </w:r>
                  <w:r>
                    <w:rPr>
                      <w:rFonts w:hint="eastAsia" w:ascii="楷体_GB2312" w:hAnsi="宋体" w:eastAsia="楷体_GB2312"/>
                      <w:szCs w:val="21"/>
                    </w:rPr>
                    <w:t>：普益财富</w:t>
                  </w:r>
                </w:p>
                <w:p>
                  <w:pPr>
                    <w:spacing w:before="50" w:after="156" w:afterLines="50" w:line="360" w:lineRule="auto"/>
                    <w:ind w:left="1050" w:hanging="1050" w:hangingChars="500"/>
                    <w:rPr>
                      <w:rFonts w:ascii="楷体_GB2312" w:hAnsi="宋体" w:eastAsia="楷体_GB2312"/>
                      <w:szCs w:val="21"/>
                    </w:rPr>
                  </w:pPr>
                  <w:r>
                    <w:rPr>
                      <w:rFonts w:hint="eastAsia" w:ascii="楷体_GB2312" w:hAnsi="宋体" w:eastAsia="楷体_GB2312"/>
                      <w:szCs w:val="21"/>
                    </w:rPr>
                    <w:t>办公地址: 四川省成都市青羊区二环路西二段19号仁和春天A座1101</w:t>
                  </w:r>
                </w:p>
                <w:p>
                  <w:pPr>
                    <w:spacing w:before="50" w:after="156" w:afterLines="50" w:line="360" w:lineRule="auto"/>
                    <w:rPr>
                      <w:rFonts w:ascii="楷体_GB2312" w:hAnsi="宋体" w:eastAsia="楷体_GB2312"/>
                      <w:szCs w:val="21"/>
                    </w:rPr>
                  </w:pPr>
                </w:p>
                <w:p>
                  <w:pPr>
                    <w:spacing w:before="50" w:after="156" w:afterLines="50" w:line="360" w:lineRule="auto"/>
                    <w:ind w:left="1031" w:hanging="1031" w:hangingChars="489"/>
                    <w:rPr>
                      <w:rFonts w:ascii="楷体_GB2312" w:hAnsi="宋体" w:eastAsia="楷体_GB2312"/>
                      <w:szCs w:val="21"/>
                    </w:rPr>
                  </w:pPr>
                  <w:r>
                    <w:rPr>
                      <w:rFonts w:hint="eastAsia" w:ascii="楷体_GB2312" w:hAnsi="宋体" w:eastAsia="楷体_GB2312"/>
                      <w:b/>
                      <w:szCs w:val="21"/>
                    </w:rPr>
                    <w:t>研究支持</w:t>
                  </w:r>
                  <w:r>
                    <w:rPr>
                      <w:rFonts w:hint="eastAsia" w:ascii="楷体_GB2312" w:hAnsi="宋体" w:eastAsia="楷体_GB2312"/>
                      <w:szCs w:val="21"/>
                    </w:rPr>
                    <w:t>：西南财经大学信托与理财研究所</w:t>
                  </w:r>
                </w:p>
                <w:p>
                  <w:pPr>
                    <w:spacing w:before="50" w:after="156" w:afterLines="50" w:line="360" w:lineRule="auto"/>
                    <w:rPr>
                      <w:rFonts w:ascii="楷体_GB2312" w:hAnsi="宋体" w:eastAsia="楷体_GB2312"/>
                      <w:szCs w:val="21"/>
                    </w:rPr>
                  </w:pPr>
                  <w:r>
                    <w:rPr>
                      <w:rFonts w:hint="eastAsia" w:ascii="楷体_GB2312" w:hAnsi="宋体" w:eastAsia="楷体_GB2312"/>
                      <w:szCs w:val="21"/>
                    </w:rPr>
                    <w:t>办公地址：中国·成都·西南财经大学</w:t>
                  </w:r>
                </w:p>
                <w:p>
                  <w:pPr>
                    <w:spacing w:before="156" w:beforeLines="50" w:after="50" w:line="360" w:lineRule="auto"/>
                    <w:rPr>
                      <w:rFonts w:ascii="宋体" w:hAnsi="宋体" w:cs="宋体"/>
                      <w:b/>
                      <w:color w:val="000000"/>
                      <w:kern w:val="0"/>
                      <w:szCs w:val="21"/>
                      <w:lang w:val="zh-CN"/>
                    </w:rPr>
                  </w:pPr>
                </w:p>
              </w:txbxContent>
            </v:textbox>
          </v:rect>
        </w:pict>
      </w:r>
    </w:p>
    <w:p>
      <w:pPr>
        <w:spacing w:before="156" w:beforeLines="50" w:after="156" w:afterLines="50"/>
      </w:pPr>
    </w:p>
    <w:p>
      <w:pPr>
        <w:spacing w:before="156" w:beforeLines="50" w:after="156" w:afterLines="50"/>
      </w:pPr>
    </w:p>
    <w:p>
      <w:pPr>
        <w:spacing w:before="156" w:beforeLines="50" w:after="156" w:afterLines="50"/>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outlineLvl w:val="0"/>
        <w:rPr>
          <w:b/>
          <w:sz w:val="32"/>
          <w:szCs w:val="32"/>
        </w:rPr>
      </w:pPr>
    </w:p>
    <w:p>
      <w:pPr>
        <w:spacing w:before="156" w:beforeLines="50" w:after="156" w:afterLines="50"/>
        <w:jc w:val="center"/>
        <w:outlineLvl w:val="0"/>
        <w:rPr>
          <w:b/>
          <w:sz w:val="32"/>
          <w:szCs w:val="32"/>
        </w:rPr>
      </w:pPr>
      <w:r>
        <w:rPr>
          <w:rFonts w:hint="eastAsia"/>
          <w:b/>
          <w:sz w:val="32"/>
          <w:szCs w:val="32"/>
        </w:rPr>
        <w:t>银行理财能力排名报告（2015年2季度）</w:t>
      </w:r>
    </w:p>
    <w:p>
      <w:pPr>
        <w:spacing w:before="156" w:beforeLines="50" w:after="156" w:afterLines="50"/>
      </w:pPr>
    </w:p>
    <w:p>
      <w:pPr>
        <w:spacing w:before="156" w:beforeLines="50" w:after="156" w:afterLines="50"/>
        <w:ind w:firstLine="420" w:firstLineChars="200"/>
      </w:pPr>
      <w:r>
        <w:rPr>
          <w:rFonts w:hint="eastAsia"/>
        </w:rPr>
        <w:t>此次银行理财能力排名是以2015年第2季度为观察期。我们对观察期内各家银行理财产品进行统计与评价，同时以评估问卷调查的形式对各家银行理财业务的产品研发、投资管理、产品销售、信息披露等方面进行考察与分析。本次排名与以往排名在统计对象及处理方式上稍有不同：1.本次统计对象不包括外资银行；2.本次排名对象为所有在本季度发行过产品的银行或本季度未发行产品但有产品到期的银行，共297家银行，全国性商业银行中包括6家国有银行和12家股份制商业银行，区域性商业银行有279家；3.发行能力估测时，发行数量来源于银行返回的问卷或普益财富数据库中的现有数据；4.收益能力估测时，按已公布预期收益率的产品计算</w:t>
      </w:r>
      <w:r>
        <w:rPr>
          <w:rFonts w:hint="eastAsia"/>
          <w:lang w:val="en-US" w:eastAsia="zh-CN"/>
        </w:rPr>
        <w:t>EI</w:t>
      </w:r>
      <w:r>
        <w:rPr>
          <w:rFonts w:hint="eastAsia"/>
        </w:rPr>
        <w:t>，计算</w:t>
      </w:r>
      <w:r>
        <w:rPr>
          <w:rFonts w:hint="eastAsia"/>
          <w:lang w:val="en-US" w:eastAsia="zh-CN"/>
        </w:rPr>
        <w:t>EI</w:t>
      </w:r>
      <w:r>
        <w:rPr>
          <w:rFonts w:hint="eastAsia"/>
        </w:rPr>
        <w:t>总得分时，按产品发行量计算权重而非已公布预期收益率的产品数；5.在处理问卷部分时，本季度未返回问卷的银行，动态部分给予基础得分5分，静态部分按上一期返回问卷的情况得分，若本期及上期都未返回，静态部分给予基础得分45.75分。</w:t>
      </w:r>
    </w:p>
    <w:p>
      <w:pPr>
        <w:spacing w:before="156" w:beforeLines="50" w:after="156" w:afterLines="50"/>
        <w:ind w:firstLine="420" w:firstLineChars="200"/>
      </w:pPr>
      <w:r>
        <w:rPr>
          <w:rFonts w:hint="eastAsia"/>
        </w:rPr>
        <w:t>需要特别说明的是，随着银行理财市场向更高级形态发展，产品形式也愈加多样化，开放式和净值型产品有增加的趋势。但由于市场上主流的产品形式仍为封闭式预期收益型和结构性产品，所以本期排名报告暂未纳入前述新产品形式。我们将在2015年下半年的季度排名报告中逐步将最新的产品形式纳入到排名体系。</w:t>
      </w:r>
    </w:p>
    <w:p>
      <w:pPr>
        <w:spacing w:before="156" w:beforeLines="50" w:after="156" w:afterLines="50"/>
        <w:ind w:firstLine="420" w:firstLineChars="200"/>
      </w:pPr>
      <w:r>
        <w:rPr>
          <w:rFonts w:hint="eastAsia"/>
        </w:rPr>
        <w:t>我们的数据来源于银行通过公开渠道披露的信息、与银行签订的数据交换协议及每季度银行反馈的动态问卷。其中，动态问卷的反馈信息中涵盖了各家银行的产品发行总量，再结合前两个渠道的数据，我们对产品发行规模进行了估计。2015年第2季度，我国银行理财产品的发行数量较上季度增长较多，但发行规模有所萎缩，共有297家商业银行（不包括外资银行）发行了32910款理财产品，发行规模估计为19.75万亿元。</w:t>
      </w:r>
    </w:p>
    <w:p>
      <w:pPr>
        <w:spacing w:before="156" w:beforeLines="50" w:after="156" w:afterLines="50"/>
        <w:ind w:firstLine="420" w:firstLineChars="200"/>
      </w:pPr>
      <w:r>
        <w:rPr>
          <w:rFonts w:hint="eastAsia"/>
        </w:rPr>
        <w:t>从发行主体类型来看，股份制商业银行的产品发行数量仍然最多，较上季度增长5626款至13578款，市场占比环比上升3.10个百分点至41.26%；国有银行发行数量上升2774款至5766款，占比为由14.37%上升至17.52%；城市商业银行发行数量为9800款，占比为31.28%，环比下降2个百分点；农村金融机构发行数量为3766款，占比为11.44%。总之，本季度各类型银行的理财产品发行数量都有所上升，同时城商银行和农村金融机构的发行数量占比出现了下滑。</w:t>
      </w:r>
    </w:p>
    <w:p>
      <w:pPr>
        <w:spacing w:before="156" w:beforeLines="50" w:after="156" w:afterLines="50"/>
        <w:ind w:firstLine="420" w:firstLineChars="200"/>
      </w:pPr>
      <w:r>
        <w:rPr>
          <w:rFonts w:hint="eastAsia"/>
        </w:rPr>
        <w:t>从投向类型来看，结构性理财产品发行数量出现了大幅上升，本季度发行数量增加1967款至3980款。债券与货币市场类产品作为市场主力，发行数量达14965款；组合投资类产品发行数量亦有大幅提升，为1</w:t>
      </w:r>
      <w:r>
        <w:rPr>
          <w:rFonts w:hint="eastAsia"/>
          <w:lang w:val="en-US" w:eastAsia="zh-CN"/>
        </w:rPr>
        <w:t>3</w:t>
      </w:r>
      <w:r>
        <w:rPr>
          <w:rFonts w:hint="eastAsia"/>
        </w:rPr>
        <w:t>893款，市场占比从41.60%上升至</w:t>
      </w:r>
      <w:r>
        <w:rPr>
          <w:rFonts w:hint="eastAsia"/>
          <w:lang w:val="en-US" w:eastAsia="zh-CN"/>
        </w:rPr>
        <w:t>42</w:t>
      </w:r>
      <w:r>
        <w:rPr>
          <w:rFonts w:hint="eastAsia"/>
        </w:rPr>
        <w:t>.</w:t>
      </w:r>
      <w:r>
        <w:rPr>
          <w:rFonts w:hint="eastAsia"/>
          <w:lang w:val="en-US" w:eastAsia="zh-CN"/>
        </w:rPr>
        <w:t>22</w:t>
      </w:r>
      <w:r>
        <w:rPr>
          <w:rFonts w:hint="eastAsia"/>
        </w:rPr>
        <w:t>%，与债券和货币市场类产品平分秋色；而融资类产品发行数量依然很少，本季度发行数量共计44款；另有28款产品未说明资金投向。</w:t>
      </w:r>
    </w:p>
    <w:p>
      <w:pPr>
        <w:spacing w:before="156" w:beforeLines="50" w:after="156" w:afterLines="50"/>
        <w:ind w:firstLine="420" w:firstLineChars="200"/>
      </w:pPr>
      <w:r>
        <w:rPr>
          <w:rFonts w:hint="eastAsia"/>
        </w:rPr>
        <w:t>随着《商业银行法》的大修完成，银行混业经营模式将是大势所趋。未来“券商牌照”、“股权投资”、“理财业务”极大可能成为银行混业经营的重点领域。对于大型银行而言，综合性银行将是其发展方向。另外《中华人民共和国商业银行法修正案（草案）》中，删除了贷款余额与存款余额比例不得超过75%的规定，将贷存比由法定监管指标转为流动性监测指标。虽然正式文件落地尚需时日，但各银行必然在今年就会对自身发展方向做出一定程度上的调整。未来随着贷存比指标的硬性约束取消，不同银行之间的能力差异会愈发明显，各类金融机构之间可以通过合作以彼之长补己之短，而非必然陷入同质化的竞争中无法自拔。激烈的竞争必将迫使各银行结合自身特点大力创新，这对未来理财市场的发展总体来看是利好消息。</w:t>
      </w:r>
    </w:p>
    <w:p>
      <w:pPr>
        <w:spacing w:before="156" w:beforeLines="50" w:after="156" w:afterLines="50"/>
      </w:pPr>
    </w:p>
    <w:p>
      <w:pPr>
        <w:spacing w:before="156" w:beforeLines="50" w:after="156" w:afterLines="50"/>
        <w:outlineLvl w:val="0"/>
        <w:rPr>
          <w:b/>
          <w:sz w:val="28"/>
          <w:szCs w:val="28"/>
        </w:rPr>
      </w:pPr>
      <w:r>
        <w:rPr>
          <w:rFonts w:hint="eastAsia"/>
          <w:b/>
          <w:sz w:val="28"/>
          <w:szCs w:val="28"/>
        </w:rPr>
        <w:t>分类指标测度</w:t>
      </w:r>
    </w:p>
    <w:p>
      <w:pPr>
        <w:spacing w:before="156" w:beforeLines="50" w:after="156" w:afterLines="50"/>
        <w:outlineLvl w:val="1"/>
        <w:rPr>
          <w:b/>
        </w:rPr>
      </w:pPr>
      <w:r>
        <w:rPr>
          <w:rFonts w:hint="eastAsia"/>
          <w:b/>
        </w:rPr>
        <w:t>发行能力：</w:t>
      </w:r>
      <w:r>
        <w:rPr>
          <w:rFonts w:hint="eastAsia" w:cs="Times New Roman"/>
          <w:b/>
        </w:rPr>
        <w:t>招行、交行、平安银行居全国性银行前三，南京、杭州、江苏居区域性银行前三</w:t>
      </w:r>
    </w:p>
    <w:p>
      <w:pPr>
        <w:spacing w:before="120" w:after="156" w:afterLines="50"/>
        <w:ind w:firstLine="420"/>
        <w:rPr>
          <w:rFonts w:cs="Times New Roman"/>
        </w:rPr>
      </w:pPr>
      <w:r>
        <w:rPr>
          <w:rFonts w:hint="eastAsia" w:cs="Times New Roman"/>
        </w:rPr>
        <w:t>全国性商业银行中，银行理财产品发行能力排名前五的银行依次是招商银行、交通银行、平安银行、民生银行和农业银行。</w:t>
      </w:r>
    </w:p>
    <w:p>
      <w:pPr>
        <w:spacing w:before="120" w:after="156" w:afterLines="50"/>
        <w:ind w:firstLine="420"/>
        <w:rPr>
          <w:rFonts w:cs="Times New Roman"/>
        </w:rPr>
      </w:pPr>
      <w:r>
        <w:rPr>
          <w:rFonts w:hint="eastAsia" w:cs="Times New Roman"/>
        </w:rPr>
        <w:t>全国性商业银行共发行19344款银行理财产品。其中，股份制商业银行发行数量最多，达13578款，其次是国有银行，发行数量分别为5766款。从银行类型上看，国有银行当季平均发行1153款，其中，交通银行发行的产品数量最多，二季度共发行1757款；位列第二与第三的是农业银行和中国银行，分别发行了1210款和1079款；股份制商业银行当季平均发行1044款，其中，平安银行发行数量最多，为2692款，其次是民生银行，发行数量为1792款，华夏银行以1727款产品紧随其后。</w:t>
      </w:r>
    </w:p>
    <w:p>
      <w:pPr>
        <w:spacing w:before="120" w:after="156" w:afterLines="50"/>
        <w:ind w:firstLine="420"/>
        <w:rPr>
          <w:rFonts w:cs="Times New Roman"/>
        </w:rPr>
      </w:pPr>
      <w:r>
        <w:rPr>
          <w:rFonts w:hint="eastAsia" w:cs="Times New Roman"/>
        </w:rPr>
        <w:t>从投资类型来看，全国性商业银行理财产品主要为组合投资类理财产品和债券与货币市场类理财产品，发行数量分别为6915款与8630款，两者占比之和为80.36%。其中，平安银行债券与货币市场类产品发行数量最多，为1159款，紧随其后的是交通银行、兴业银行和中国银行；民生银行的组合投资类产品发行数量最多，为1289款，发行该类产品超过800款的还有招商银行、广发银行、平安银行、农业银行和工商银行；结构性产品的发行数量为</w:t>
      </w:r>
      <w:r>
        <w:rPr>
          <w:rFonts w:hint="eastAsia" w:cs="Times New Roman"/>
          <w:lang w:val="en-US" w:eastAsia="zh-CN"/>
        </w:rPr>
        <w:t>3799</w:t>
      </w:r>
      <w:r>
        <w:rPr>
          <w:rFonts w:hint="eastAsia" w:cs="Times New Roman"/>
        </w:rPr>
        <w:t>款，占比为19.63%，发行该类产品最多的华夏银行和平安银行分别发行了621款和595款。</w:t>
      </w:r>
      <w:bookmarkStart w:id="0" w:name="_GoBack"/>
      <w:bookmarkEnd w:id="0"/>
    </w:p>
    <w:p>
      <w:pPr>
        <w:spacing w:before="120" w:after="156" w:afterLines="50"/>
        <w:ind w:firstLine="420"/>
        <w:rPr>
          <w:rFonts w:cs="Times New Roman"/>
        </w:rPr>
      </w:pPr>
      <w:r>
        <w:rPr>
          <w:rFonts w:hint="eastAsia" w:cs="Times New Roman"/>
        </w:rPr>
        <w:t>从发行规模上看，全国性商业银行发行规模估测约为17.88万亿。其中，国有银行发行规模估测约为7.06万亿；股份制商业银行发行规模估测约为10.82万亿。</w:t>
      </w:r>
    </w:p>
    <w:p>
      <w:pPr>
        <w:spacing w:before="120" w:after="156" w:afterLines="50"/>
        <w:ind w:firstLine="420"/>
        <w:rPr>
          <w:rFonts w:cs="Times New Roman"/>
        </w:rPr>
      </w:pPr>
      <w:r>
        <w:rPr>
          <w:rFonts w:hint="eastAsia" w:cs="Times New Roman"/>
        </w:rPr>
        <w:t>区域性商业银行中，银行理财产品发行能力排名前十的银行依次是南京银行、杭州银行、江苏银行、上海银行、青岛银行、北京银行、东莞银行、珠海华润银行、稠州银行和上海农商银行。</w:t>
      </w:r>
    </w:p>
    <w:p>
      <w:pPr>
        <w:spacing w:before="120" w:after="156" w:afterLines="50"/>
        <w:ind w:firstLine="420"/>
        <w:rPr>
          <w:rFonts w:cs="Times New Roman"/>
        </w:rPr>
      </w:pPr>
      <w:r>
        <w:rPr>
          <w:rFonts w:hint="eastAsia" w:cs="Times New Roman"/>
        </w:rPr>
        <w:t>区域性商业银行共发行13566款银行理财产品，其中，城市商业银行发行数量最多，达到9800款，发行数量仅次于全国性商业银行中的股份制商业银行；农村商业银行和农村信用社的发行数量分别为3413款和353款。从银行类型上看，城市商业银行当季平均发行94款，其中，南京银行以1020款的发行数量继续领先，杭州银行和江苏银行依次发行639款、527款理财产品，分列第二和第三；农村商业银行平均发行29款，其中，上海农商发行数量最多，为208款。从投资类型来看，债券与货币市场类理财产品依然是区域性商业银行理财产品的主要投向类型，发行数量达8050款。具体而言，上海银行的债券与货币市场类产品发行数量最多，为287款，该类产品发行数量较多的还有南京银行和珠海华润银行，分别发行284款和194款；组合投资类产品发行数量为5263款，其中，南京银行该类产品发行数量最多，为725款，此外，该类产品发行数量超过200款的还有杭州银行、江苏银行、青岛银行、稠州银行。</w:t>
      </w:r>
    </w:p>
    <w:p>
      <w:pPr>
        <w:spacing w:before="120" w:after="156" w:afterLines="50"/>
        <w:ind w:firstLine="420"/>
      </w:pPr>
      <w:r>
        <w:rPr>
          <w:rFonts w:hint="eastAsia" w:cs="Times New Roman"/>
        </w:rPr>
        <w:t>从发行规模上看，区域性商业银行发行规模估测约为1.87万亿。其中，城市商业银行的估测发行规模在区域性商业银行中占比约为74.59%。</w:t>
      </w:r>
    </w:p>
    <w:p>
      <w:pPr>
        <w:spacing w:before="156" w:beforeLines="50"/>
        <w:rPr>
          <w:b/>
        </w:rPr>
      </w:pPr>
      <w:r>
        <w:rPr>
          <w:rFonts w:hint="eastAsia"/>
          <w:b/>
        </w:rPr>
        <w:t>表1：</w:t>
      </w:r>
      <w:r>
        <w:rPr>
          <w:rFonts w:hint="eastAsia" w:cs="Times New Roman"/>
          <w:b/>
        </w:rPr>
        <w:t>发行能力排行榜（</w:t>
      </w:r>
      <w:r>
        <w:rPr>
          <w:rFonts w:hint="eastAsia"/>
          <w:b/>
        </w:rPr>
        <w:t>2015年2季度</w:t>
      </w:r>
      <w:r>
        <w:rPr>
          <w:rFonts w:hint="eastAsia" w:cs="Times New Roman"/>
          <w:b/>
        </w:rPr>
        <w:t>）</w:t>
      </w:r>
    </w:p>
    <w:p>
      <w:pPr>
        <w:spacing w:before="156" w:beforeLines="50" w:after="156" w:afterLines="50"/>
        <w:rPr>
          <w:rFonts w:cs="Times New Roman"/>
          <w:b/>
        </w:rPr>
      </w:pPr>
      <w:r>
        <w:rPr>
          <w:rFonts w:hint="eastAsia" w:cs="Times New Roman"/>
          <w:b/>
        </w:rPr>
        <w:t>全国性商业银行：</w:t>
      </w:r>
    </w:p>
    <w:tbl>
      <w:tblPr>
        <w:tblStyle w:val="14"/>
        <w:tblW w:w="83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2205"/>
        <w:gridCol w:w="1677"/>
        <w:gridCol w:w="1677"/>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220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银行名称</w:t>
            </w:r>
          </w:p>
        </w:tc>
        <w:tc>
          <w:tcPr>
            <w:tcW w:w="167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发行数量得分</w:t>
            </w:r>
          </w:p>
        </w:tc>
        <w:tc>
          <w:tcPr>
            <w:tcW w:w="167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发行规模得分</w:t>
            </w:r>
          </w:p>
        </w:tc>
        <w:tc>
          <w:tcPr>
            <w:tcW w:w="167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发行能力得分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招商银行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交通银行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平安银行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10.00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8.81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中国民生银行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9.30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中国农业银行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9.02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兴业银行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8.98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华夏银行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中国工商银行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8.81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中国银行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8.88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9.23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上海浦东发展银行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10.00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广发银行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9.30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8.41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中国建设银行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8.34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9.19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中信银行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7.95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9.10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中国光大银行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8.16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中国邮政储蓄银行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7.93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7.48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浙商银行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7.17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渤海银行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w:t>
            </w:r>
          </w:p>
        </w:tc>
        <w:tc>
          <w:tcPr>
            <w:tcW w:w="220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hint="eastAsia" w:cs="Calibri"/>
                <w:color w:val="000000"/>
                <w:kern w:val="0"/>
                <w:sz w:val="18"/>
                <w:szCs w:val="18"/>
              </w:rPr>
              <w:t>恒丰银行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11.37 </w:t>
            </w:r>
          </w:p>
        </w:tc>
      </w:tr>
    </w:tbl>
    <w:p>
      <w:pPr>
        <w:spacing w:before="156" w:beforeLines="50" w:after="156" w:afterLines="50"/>
        <w:rPr>
          <w:rFonts w:cs="Times New Roman"/>
          <w:b/>
        </w:rPr>
      </w:pPr>
    </w:p>
    <w:p>
      <w:pPr>
        <w:spacing w:before="156" w:beforeLines="50" w:after="156" w:afterLines="50"/>
        <w:rPr>
          <w:rFonts w:cs="Times New Roman"/>
          <w:b/>
        </w:rPr>
      </w:pPr>
      <w:r>
        <w:rPr>
          <w:rFonts w:hint="eastAsia" w:cs="Times New Roman"/>
          <w:b/>
        </w:rPr>
        <w:t>区域性商业银行：</w:t>
      </w:r>
    </w:p>
    <w:tbl>
      <w:tblPr>
        <w:tblStyle w:val="14"/>
        <w:tblW w:w="83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2205"/>
        <w:gridCol w:w="1677"/>
        <w:gridCol w:w="1677"/>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220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银行名称</w:t>
            </w:r>
          </w:p>
        </w:tc>
        <w:tc>
          <w:tcPr>
            <w:tcW w:w="167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发行数量得分</w:t>
            </w:r>
          </w:p>
        </w:tc>
        <w:tc>
          <w:tcPr>
            <w:tcW w:w="167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发行规模得分</w:t>
            </w:r>
          </w:p>
        </w:tc>
        <w:tc>
          <w:tcPr>
            <w:tcW w:w="167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发行能力得分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8.81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8.24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7.14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7.03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6.00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珠海华润银行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7.34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浙江稠州商业银行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7.03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5.79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哈尔滨银行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锦州银行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徽商银行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6.66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6.48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富滇银行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5.40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5.40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广东顺德农村商业银行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汉口银行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海峡银行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长沙银行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齐鲁银行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龙江银行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5.17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盛京银行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5.15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南粤银行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6.05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长治潞州农村商业银行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6.09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日照银行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6.09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6.05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苏州银行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东营商业银行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郑州银行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西安银行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江门农村商业银行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鄞州银行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淮海银行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内蒙古银行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甘肃银行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佛山农村商业银行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长安银行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5.76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吴江农村商业银行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5.76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江阴农村商业银行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张家港农村商业银行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昆仑银行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九台农村商业银行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湖北银行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长春农村商业银行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华融湘江银行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5.48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九江银行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鹿城农村商业银行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瑞丰银行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无锡农村商业银行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德阳银行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北部湾银行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深圳农村商业银行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5.17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嘉兴银行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黄河农村商业银行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南充商业银行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江南农村商业银行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常熟农村商业银行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5.19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辽阳银行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泰安商业银行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德州商业银行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晋城银行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尧都农村商业银行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5.19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石嘴山银行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玉溪商业银行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5.10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4.14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张家口商业银行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4.16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宁夏银行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运城农村商业银行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青海银行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晋江农村商业银行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洛阳银行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4.90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乐山商业银行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杭州联合银行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焦作商业银行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大丰农村商业银行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义乌农村商业银行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贵州银行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路桥农村合作银行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4.81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石狮农村商业银行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108</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华兴银行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齐商银行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丹东商业银行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海口农村商业银行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武汉农村商业银行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端州农村商业银行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民泰商业银行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潞城农村商业银行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鄂尔多斯商业银行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上饶银行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乐清农村商业银行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太仓农村商业银行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绵阳商业银行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连云港东方农村商业银行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阜新银行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余姚农村合作银行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平遥农村商业银行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清远农村商业银行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长子农村商业银行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乌鲁木齐商业银行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新会农村商业银行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铜山农村信用合作社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中山农村商业银行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4.33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宁波东海银行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宁波通商</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苍南农村商业银行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慈溪农村合作银行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吉林银行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高要农村商业银行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龙湾农村商业银行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4.23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桂林银行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4.18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合肥科技农村商业银行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4.18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萧山农村商业银行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4.18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朝阳商业银行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抚顺银行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乡宁农村商业银行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呼和浩特金谷农村商业银行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邳州农村商业银行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泗洪农村商业银行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桐庐农村合作银行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余杭农村合作银行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沧州银行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平顶山商业银行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秦皇岛商业银行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152</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瑞安农村商业银行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3.92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3.20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惠安农村信用合作社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四会农村商业银行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156</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伊金霍洛农村商业银行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3.85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唐山银行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富阳农村商业银行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官渡农村合作银行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160</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射阳农村商业银行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昌邑农村商业银行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柳州银行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稷山农村信用合作社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连江县农村信用合作社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玉环农村合作银行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云南红塔农村合作银行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如东农村商业银行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3.69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3.01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德清农村商业银行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高密农村商业银行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海安农村商业银行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遂宁商业银行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温州瓯海农村商业银行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171</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兴化农村商业银行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3.59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2.94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侯马农村商业银行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金华成泰农村商业银行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马鞍山农村商业银行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长乐农村信用合作社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中原银行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仪陇农村商业银行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榆次农村商业银行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禹城农村商业银行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3.49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惠东农村商业银行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嘉善农村商业银行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温岭农村合作银行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文成农村信用合作社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营口沿海银行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天山农村商业银行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185</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3.38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滨海农村商业银行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葫芦岛商业银行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海宁农村商业银行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启东农村商业银行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宜宾商业银行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寿阳农村商业银行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长兴农村合作银行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临安农村信用合作社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平阳农村信用合作社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新沂农村商业银行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扬州农村商业银行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紫金农村商业银行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3.26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晋中商业银行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河津农村商业银行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东阳农村商业银行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建德农村信用合作社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武义农村合作银行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207</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舟山定海海洋农村商业银行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靖江农村商业银行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上杭农村商业银行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邢台商业银行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绍兴恒信合行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寿光农村商业银行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淳安农村信用合作社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德化农村信用合作社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圣泰农村合作银行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朔州平鲁农村信用合作社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延边农村商业银行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2.96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江都农村商业银行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盐城黄海农村商业银行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海盐农村信用合作社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嵊泗农村信用合作社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松阳农村信用合作社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漳州农村商业银行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2.77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鞍山商业银行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河北邢台农村商业银行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铁岭商业银行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南浔农村商业银行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青田农村商业银行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新昌农村商业银行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安溪农村信用合作社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洞头农村信用合作社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兰溪农村合作银行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龙泉农村信用合作社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龙游农村信用合作社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磐安农村信用合作社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平湖农村合作银行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朔州市朔城区农村信用合作社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阳泉市郊区农村信用合作社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永春县农村信用合作社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诸暨农村商业银行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2.53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2.08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禾城农村商业银行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淮安农村商业银行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曲靖商业银行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江苏宜兴农村商业银行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姜堰农村商业银行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灵石农村商业银行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民丰农村商业银行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上虞农村商业银行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仪征农村商业银行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开化农村信用合作社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浦江农村信用合作社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台州黄岩农村合作银行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台州椒江农村合作银行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桐乡农村信用合作社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永康农村商业银行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榆中农村合作银行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2.22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1.83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安吉农村商业银行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衢州柯城农村商业银行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睢宁农村商业银行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岱山农村信用合作社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景宁畲族农村信用合作社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三门农村信用合作社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嵊州农村合作银行</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象山农村信用合作社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云和县农村信用合作社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269</w:t>
            </w:r>
          </w:p>
        </w:tc>
        <w:tc>
          <w:tcPr>
            <w:tcW w:w="22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泽州农村信用合作社</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 </w:t>
            </w:r>
          </w:p>
        </w:tc>
        <w:tc>
          <w:tcPr>
            <w:tcW w:w="167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3.19 </w:t>
            </w:r>
          </w:p>
        </w:tc>
      </w:tr>
    </w:tbl>
    <w:p>
      <w:pPr>
        <w:spacing w:before="156" w:beforeLines="50" w:after="156" w:afterLines="50"/>
        <w:rPr>
          <w:rFonts w:cs="Times New Roman"/>
          <w:b/>
        </w:rPr>
      </w:pPr>
      <w:r>
        <w:rPr>
          <w:rFonts w:hint="eastAsia" w:cs="Times New Roman"/>
          <w:b/>
        </w:rPr>
        <w:t>资料来源：普益财富</w:t>
      </w:r>
    </w:p>
    <w:p/>
    <w:p>
      <w:pPr>
        <w:spacing w:before="156" w:beforeLines="50" w:after="156" w:afterLines="50"/>
        <w:outlineLvl w:val="1"/>
        <w:rPr>
          <w:b/>
        </w:rPr>
      </w:pPr>
      <w:r>
        <w:rPr>
          <w:rFonts w:hint="eastAsia"/>
          <w:b/>
        </w:rPr>
        <w:t>收益能力：平安、招商、交通居全国性银行前三，官渡农合行、云南红塔农合行位居区域性银行前二名</w:t>
      </w:r>
    </w:p>
    <w:p>
      <w:pPr>
        <w:spacing w:before="156" w:beforeLines="50" w:after="156" w:afterLines="50"/>
        <w:ind w:firstLine="420" w:firstLineChars="200"/>
      </w:pPr>
      <w:r>
        <w:rPr>
          <w:rFonts w:hint="eastAsia"/>
        </w:rPr>
        <w:t>全国性商业银行中，收益能力排名前五的银行依次是平安银行、招商银行、交通银行、光大银行和兴业银行。全国性商业银行的发行产品中，共有11722款公布了预期收益率，各家银行产品EI值的平均表现为2.3296。在纳入排名的银行中，平安银行产品平均EI值为2.6567，高于平均水平，加之其发行数量为2692款，在发行产品数量上占据很大优势，因此该行能够在收益能力排名中位居首位。招商银行收益能力排名第二，其平均EI为2.4851，亦高于平均EI值，但其发行量为1770，两方面综合原因促使其位居第二。光大银行产品的平均EI值为3.0796，在全国性商业银行中最高，但其发行产品且公布数量仅为598款，致使其收益能力在全国性商业银行中排名第四。</w:t>
      </w:r>
    </w:p>
    <w:p>
      <w:pPr>
        <w:spacing w:before="156" w:beforeLines="50" w:after="156" w:afterLines="50"/>
        <w:ind w:firstLine="420" w:firstLineChars="200"/>
      </w:pPr>
      <w:r>
        <w:rPr>
          <w:rFonts w:hint="eastAsia"/>
        </w:rPr>
        <w:t>从产品平均EI值来看，表现较好的前五家全国性商业银行依次为光大银行、平安银行、兴业银行、交通银行和招商银行。从不同类型的银行来看，国有银行中交通银行与农业银行的平均EI值高于平均水平，其余均在平均值2.3296以下；股份制商业银行中，光大银行、平安银行、兴业银行、招商银行、浙商银行、渤海银行、民生银行的平均EI值高于平均水平，其余股份制商业银行的平均EI值略低于平均水平。</w:t>
      </w:r>
    </w:p>
    <w:p>
      <w:pPr>
        <w:spacing w:before="156" w:beforeLines="50" w:after="156" w:afterLines="50"/>
        <w:ind w:firstLine="420" w:firstLineChars="200"/>
      </w:pPr>
      <w:r>
        <w:rPr>
          <w:rFonts w:hint="eastAsia"/>
        </w:rPr>
        <w:t>区域性商业银行中，收益能力排名前十的银行依次是官渡农合行、云南红塔农合商、南京银行、东莞银行、江苏宜兴农商银行、宁波东海银行、北京银行、瑞丰银行、龙湾农商银行、青岛银行。</w:t>
      </w:r>
    </w:p>
    <w:p>
      <w:pPr>
        <w:spacing w:before="156" w:beforeLines="50" w:after="156" w:afterLines="50"/>
        <w:ind w:firstLine="420" w:firstLineChars="200"/>
      </w:pPr>
      <w:r>
        <w:rPr>
          <w:rFonts w:hint="eastAsia"/>
        </w:rPr>
        <w:t>区域性商业银行的发行产品中，共有12399款公布了预期收益率，各家银行产品EI值的平均表现为2.2157。在纳入排名的银行中，官渡农商银行收益能力位居首位，主要得益于该行平均EI值，高达3.3633，尽管其产品发行数目少，但其发行产品的收益率都较高，变化不大，使之平均EI值在所有银行中均排名第一。南京银行发行产品超过1000，公布收益率产品超过600，其平均EI为2.3253，高于平均水平，使之排名第三。同样地，云南红塔农合商、江苏宜兴农商银行、宁波东海银行、瑞丰银行、龙湾农商银行的情况类似，虽然公布了预期收益率的产品数非常少，但是它们的平均EI值均在2.70以上，因此凭借较高的产品定价水平而进入收益能力排名榜前十。</w:t>
      </w:r>
    </w:p>
    <w:p>
      <w:pPr>
        <w:spacing w:before="156" w:beforeLines="50" w:after="156" w:afterLines="50"/>
        <w:ind w:firstLine="420" w:firstLineChars="200"/>
      </w:pPr>
      <w:r>
        <w:rPr>
          <w:rFonts w:hint="eastAsia"/>
        </w:rPr>
        <w:t>从产品平均EI值来看，表现较好的前十家区域性商业银行依次为官渡农合行、云南红塔农合行、东莞银行、宁波东海银行、营口沿海银行、龙湾农商银行、洞头农信社、江苏宜兴农商银行、瑞丰银行和青海银行。这十家银行的产品平均EI值均高于2.68。</w:t>
      </w:r>
    </w:p>
    <w:p>
      <w:pPr>
        <w:spacing w:before="156" w:beforeLines="50" w:after="156" w:afterLines="50"/>
        <w:rPr>
          <w:rFonts w:cs="Times New Roman"/>
          <w:b/>
        </w:rPr>
      </w:pPr>
      <w:r>
        <w:rPr>
          <w:rFonts w:hint="eastAsia" w:cs="Times New Roman"/>
          <w:b/>
        </w:rPr>
        <w:t>表2：收益能力排行榜（</w:t>
      </w:r>
      <w:r>
        <w:rPr>
          <w:rFonts w:hint="eastAsia"/>
          <w:b/>
        </w:rPr>
        <w:t>2015年2季度</w:t>
      </w:r>
      <w:r>
        <w:rPr>
          <w:rFonts w:hint="eastAsia" w:cs="Times New Roman"/>
          <w:b/>
        </w:rPr>
        <w:t>）</w:t>
      </w:r>
    </w:p>
    <w:p>
      <w:pPr>
        <w:spacing w:before="156" w:beforeLines="50" w:after="156" w:afterLines="50"/>
        <w:rPr>
          <w:rFonts w:cs="Times New Roman"/>
          <w:b/>
        </w:rPr>
      </w:pPr>
      <w:r>
        <w:rPr>
          <w:rFonts w:hint="eastAsia" w:cs="Times New Roman"/>
          <w:b/>
        </w:rPr>
        <w:t>全国性商业银行：</w:t>
      </w:r>
    </w:p>
    <w:tbl>
      <w:tblPr>
        <w:tblStyle w:val="14"/>
        <w:tblW w:w="8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3"/>
        <w:gridCol w:w="3323"/>
        <w:gridCol w:w="2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332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银行名称</w:t>
            </w:r>
          </w:p>
        </w:tc>
        <w:tc>
          <w:tcPr>
            <w:tcW w:w="280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收益能力得分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平安银行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招商银行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交通银行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中国光大银行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兴业银行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16.17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广发银行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中国民生银行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中国农业银行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华夏银行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中国工商银行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中信银行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中国建设银行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渤海银行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中国邮政储蓄银行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恒丰银行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上海浦东发展银行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11.21 </w:t>
            </w:r>
          </w:p>
        </w:tc>
      </w:tr>
    </w:tbl>
    <w:p>
      <w:pPr>
        <w:spacing w:before="156" w:beforeLines="50" w:after="156" w:afterLines="50"/>
        <w:rPr>
          <w:rFonts w:cs="Times New Roman"/>
          <w:b/>
        </w:rPr>
      </w:pPr>
      <w:r>
        <w:rPr>
          <w:rFonts w:hint="eastAsia" w:cs="Times New Roman"/>
          <w:b/>
        </w:rPr>
        <w:t>区域性商业银行：</w:t>
      </w:r>
    </w:p>
    <w:tbl>
      <w:tblPr>
        <w:tblStyle w:val="14"/>
        <w:tblW w:w="8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3"/>
        <w:gridCol w:w="3323"/>
        <w:gridCol w:w="2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332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银行名称</w:t>
            </w:r>
          </w:p>
        </w:tc>
        <w:tc>
          <w:tcPr>
            <w:tcW w:w="280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收益能力得分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官渡农村合作银行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云南红塔农村合作银行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江苏宜兴农村商业银行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宁波东海银行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瑞丰银行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龙湾农村商业银行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青海银行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营口沿海银行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民丰农村商业银行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磐安农村信用合作社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晋江农村商业银行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洞头农村信用合作社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乐清农村商业银行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苏州银行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长乐农村信用合作社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九江银行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江阴农村商业银行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苍南农村商业银行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长安银行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稠州商业银行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连江县农村信用合作社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连云港东方农村商业银行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富滇银行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洛阳银行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上饶银行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无锡农村商业银行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如东农村商业银行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延边农村商业银行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深圳农村商业银行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睢宁农村商业银行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朔州市朔城区农村信用合作社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海峡银行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马鞍山农村商业银行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邳州农村商业银行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盛京银行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嘉兴银行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宜宾商业银行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呼和浩特金谷农村商业银行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曲靖商业银行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佛山农村商业银行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齐鲁银行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吴江农村商业银行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义乌农村商业银行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海安农村商业银行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湖北银行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东营商业银行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端州农村商业银行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德州商业银行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玉溪商业银行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江门农村商业银行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榆次农村商业银行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鄞州银行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鄂尔多斯商业银行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珠海华润银行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晋城银行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贵州银行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华兴银行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长沙银行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南粤银行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汉口银行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文成农村信用合作社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天山农村商业银行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广东顺德农村商业银行业银行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丹东商业银行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铜山农村信用合作社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甘肃银行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锦州银行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龙江银行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江南农村商业银行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侯马农村商业银行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秦皇岛商业银行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大丰农村商业银行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张家港农村商业银行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武汉农村商业银行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石嘴山银行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朔州平鲁农村信用合作社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常熟农村商业银行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乐山商业银行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运城农村商业银行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榆中农村合作银行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南充商业银行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泰安商业银行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辽阳银行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长春农村商业银行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黄河农村商业银行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鹿城农村商业银行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九台农村商业银行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日照银行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太仓农村商业银行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德阳银行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内蒙古银行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郑州银行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焦作商业银行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昆仑银行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尧都农村商业银行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玉环农村合作银行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泗洪农村商业银行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瑞安农村商业银行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新会农村商业银行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北部湾银行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民泰商业银行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吉林银行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乌鲁木齐商业银行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宁波通商</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唐山银行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张家口商业银行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平遥农村商业银行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衢州柯城农村商业银行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淮海银行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华融湘江银行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乡宁农村商业银行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江都农村商业银行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寿阳农村商业银行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慈溪农村合作银行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长治潞州农村商业银行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平阳农村信用合作社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潞城农村商业银行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中原银行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余杭农村合作银行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余姚农村合作银行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路桥农村合作银行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鞍山商业银行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禹城农村商业银行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新昌农村商业银行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桂林银行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平顶山商业银行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杭州联合银行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景宁畲族农村信用合作社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兴化农村商业银行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阜新银行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海口农村商业银行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哈尔滨银行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朝阳商业银行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金华成泰农村商业银行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射阳农村商业银行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阳泉市郊区农村信用合作社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西安银行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徽商银行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仪陇农村商业银行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临安农村信用合作社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合肥科技农村商业银行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宁夏银行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姜堰农村商业银行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台州黄岩农村合作银行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富阳农村商业银行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萧山农村商业银行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长兴农村合作银行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武义农村合作银行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嵊泗农村信用合作社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铁岭商业银行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邢台商业银行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绍兴恒信合行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葫芦岛商业银行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滨海农村商业银行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遂宁商业银行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桐庐农村合作银行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龙泉农村信用合作社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灵石农村商业银行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建德农村信用合作社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淳安农村信用合作社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泽州农村信用合作社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抚顺银行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安吉农村商业银行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绵阳商业银行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海宁农村商业银行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松阳农村信用合作社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岱山农村信用合作社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三门农村信用合作社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禾城农村商业银行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嵊州农村合作银行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台州椒江农村合作银行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龙游农村信用合作社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南浔农村商业银行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嘉善农村商业银行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温岭农村合作银行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青田农村商业银行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舟山定海海洋农村商业银行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德清农村商业银行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浦江农村信用合作社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桐乡农村信用合作社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平湖农村合作银行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诸暨农村商业银行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开化农村信用合作社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东阳农村商业银行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伊金霍洛农村商业银行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海盐农村信用合作社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兰溪农村合作银行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永春县农村信用合作社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河北邢台农村商业银行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沧州银行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盐城黄海农村商业银行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仪征农村商业银行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248</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象山农村信用合作社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249</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云和县农村信用合作社</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250</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柳州银行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251</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淮安农村商业银行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252</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靖江农村商业银行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253</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温州瓯海农村商业银行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254</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启东农村商业银行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255</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中山农村商业银行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256</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283"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257</w:t>
            </w:r>
          </w:p>
        </w:tc>
        <w:tc>
          <w:tcPr>
            <w:tcW w:w="332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扬州农村商业银行</w:t>
            </w:r>
          </w:p>
        </w:tc>
        <w:tc>
          <w:tcPr>
            <w:tcW w:w="2803"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8.61 </w:t>
            </w:r>
          </w:p>
        </w:tc>
      </w:tr>
    </w:tbl>
    <w:p>
      <w:pPr>
        <w:spacing w:before="156" w:beforeLines="50" w:after="156" w:afterLines="50"/>
        <w:rPr>
          <w:rFonts w:cs="Times New Roman"/>
          <w:b/>
        </w:rPr>
      </w:pPr>
      <w:r>
        <w:rPr>
          <w:rFonts w:hint="eastAsia" w:cs="Times New Roman"/>
          <w:b/>
        </w:rPr>
        <w:t>资料来源：普益财富</w:t>
      </w:r>
    </w:p>
    <w:p>
      <w:pPr>
        <w:spacing w:before="156" w:beforeLines="50" w:after="156" w:afterLines="50"/>
        <w:rPr>
          <w:rFonts w:cs="Times New Roman"/>
          <w:b/>
        </w:rPr>
      </w:pPr>
    </w:p>
    <w:p>
      <w:pPr>
        <w:spacing w:before="156" w:beforeLines="50" w:after="156" w:afterLines="50"/>
        <w:outlineLvl w:val="1"/>
        <w:rPr>
          <w:b/>
        </w:rPr>
      </w:pPr>
      <w:r>
        <w:rPr>
          <w:rFonts w:hint="eastAsia"/>
          <w:b/>
        </w:rPr>
        <w:t>风险控制能力：民生、兴业、邮储居全国性银行前三，江苏、南京、青岛居区域性银行前三</w:t>
      </w:r>
    </w:p>
    <w:p>
      <w:pPr>
        <w:spacing w:before="156" w:beforeLines="50" w:after="156" w:afterLines="50"/>
        <w:ind w:firstLine="420" w:firstLineChars="200"/>
      </w:pPr>
      <w:r>
        <w:rPr>
          <w:rFonts w:hint="eastAsia"/>
        </w:rPr>
        <w:t>2015年2季度，全国性商业银行中，风控能力排名前五的银行依次是民生银行、兴业银行、邮储银行、招商银行和工商银行。</w:t>
      </w:r>
    </w:p>
    <w:p>
      <w:pPr>
        <w:spacing w:before="156" w:beforeLines="50" w:after="156" w:afterLines="50"/>
        <w:ind w:firstLine="420" w:firstLineChars="200"/>
      </w:pPr>
      <w:r>
        <w:rPr>
          <w:rFonts w:hint="eastAsia"/>
        </w:rPr>
        <w:t>全国性商业银行中的民生银行、华夏银行、交通银行、中国银行、兴业银行和招商银行在实现预期收益率的产品数量方面表现优秀，这些银行公布的实现了预期收益率的固定收益类产品数量均超过500款，显著超过其他银行。民生银行2015年2季度公布的实现了预期收益率的固定收益类产品数量达到745款，以及实现了最高收益率的结构性产品数量达到440款，远超多数全国性商业银行，再加上该行在收益实现方面表现突出，因而在全国性商业银行中位列风控能力第一位。</w:t>
      </w:r>
    </w:p>
    <w:p>
      <w:pPr>
        <w:spacing w:before="156" w:beforeLines="50" w:after="156" w:afterLines="50"/>
        <w:ind w:firstLine="420" w:firstLineChars="200"/>
      </w:pPr>
      <w:r>
        <w:rPr>
          <w:rFonts w:hint="eastAsia"/>
        </w:rPr>
        <w:t>在收益实现方面，结构性产品的收益实现情况对全国性商业银行的产品收益实现得分影响显著，2015年2季度绝大多数的全国性商业银行都有数量不等的结构性产品到期，由于各家银行结构性产品的收益实现情况有好有坏，使得这些银行的收益实现得分表现出一定差距，不过由于结构性产品的数量分数权重高于固定收益类产品，因而从一定程度上抵消了收益实现得分对风控能力总分的负面影响。</w:t>
      </w:r>
    </w:p>
    <w:p>
      <w:pPr>
        <w:spacing w:before="156" w:beforeLines="50" w:after="156" w:afterLines="50"/>
        <w:ind w:firstLine="420" w:firstLineChars="200"/>
      </w:pPr>
      <w:r>
        <w:rPr>
          <w:rFonts w:hint="eastAsia"/>
        </w:rPr>
        <w:t>另外，排名靠后的银行主要由于收益实现方面表现不佳，尽管其中部分银行发行产品数量都不低，但产品整体预期收益率的实现情况不佳拖累其风控能力的总分。</w:t>
      </w:r>
    </w:p>
    <w:p>
      <w:pPr>
        <w:spacing w:before="156" w:beforeLines="50" w:after="156" w:afterLines="50"/>
        <w:ind w:firstLine="420" w:firstLineChars="200"/>
      </w:pPr>
      <w:r>
        <w:rPr>
          <w:rFonts w:hint="eastAsia"/>
        </w:rPr>
        <w:t>2015年2季度，区域性商业银行中，风控能力排名前十的银行依次是江苏银行、南京银行、青岛银行、珠海华润银行银行、宁波银行、东莞银行、稠州银行、海峡银行、河北银行和德阳银行。</w:t>
      </w:r>
    </w:p>
    <w:p>
      <w:pPr>
        <w:spacing w:before="156" w:beforeLines="50" w:after="156" w:afterLines="50"/>
        <w:ind w:firstLine="420" w:firstLineChars="200"/>
      </w:pPr>
      <w:r>
        <w:rPr>
          <w:rFonts w:hint="eastAsia"/>
        </w:rPr>
        <w:t>由于区域性商业银行中除了个别银行外，其余银行都没有在报告期间有结构性产品到期（或没有公布其到期收益率），再加上固定收益类产品几乎都能实现最高预期收益率，因此绝大部分银行的收益实现得分都接近满分。这使得区域性商业银行的风控能力集中体现在实现了到期收益率的固定收益类产品数量上，江苏银行、南京银行、青岛银行、珠海华润银行和宁波银行等银行在实现预期收益（固收类产品）和最高预期收益（结构性产品）的产品数量上面有较大的优势，且收益实现能力较强，因而最终表现名列前茅。</w:t>
      </w:r>
    </w:p>
    <w:p>
      <w:pPr>
        <w:spacing w:before="156" w:beforeLines="50" w:after="156" w:afterLines="50"/>
        <w:rPr>
          <w:rFonts w:cs="Times New Roman"/>
        </w:rPr>
      </w:pPr>
      <w:r>
        <w:rPr>
          <w:rFonts w:hint="eastAsia" w:cs="Times New Roman"/>
          <w:b/>
        </w:rPr>
        <w:t>表3：风险控制能力排行榜（</w:t>
      </w:r>
      <w:r>
        <w:rPr>
          <w:rFonts w:hint="eastAsia"/>
          <w:b/>
        </w:rPr>
        <w:t>2015年2季度</w:t>
      </w:r>
      <w:r>
        <w:rPr>
          <w:rFonts w:hint="eastAsia" w:cs="Times New Roman"/>
          <w:b/>
        </w:rPr>
        <w:t>）</w:t>
      </w:r>
    </w:p>
    <w:p>
      <w:pPr>
        <w:spacing w:before="156" w:beforeLines="50" w:after="156" w:afterLines="50"/>
        <w:rPr>
          <w:rFonts w:cs="Times New Roman"/>
          <w:b/>
        </w:rPr>
      </w:pPr>
      <w:r>
        <w:rPr>
          <w:rFonts w:hint="eastAsia" w:cs="Times New Roman"/>
          <w:b/>
        </w:rPr>
        <w:t>全国性商业银行：</w:t>
      </w:r>
    </w:p>
    <w:tbl>
      <w:tblPr>
        <w:tblStyle w:val="14"/>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8"/>
        <w:gridCol w:w="4155"/>
        <w:gridCol w:w="2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排名</w:t>
            </w:r>
          </w:p>
        </w:tc>
        <w:tc>
          <w:tcPr>
            <w:tcW w:w="41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银行名称</w:t>
            </w:r>
          </w:p>
        </w:tc>
        <w:tc>
          <w:tcPr>
            <w:tcW w:w="272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风险控制能力得分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中国民生银行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兴业银行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中国邮政储蓄银行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招商银行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中国工商银行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渤海银行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华夏银行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中信银行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浙商银行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广发银行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中国农业银行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中国光大银行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交通银行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恒丰银行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平安银行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中国建设银行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638"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41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上海浦东发展银行</w:t>
            </w:r>
          </w:p>
        </w:tc>
        <w:tc>
          <w:tcPr>
            <w:tcW w:w="272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2.47</w:t>
            </w:r>
          </w:p>
        </w:tc>
      </w:tr>
    </w:tbl>
    <w:p>
      <w:pPr>
        <w:spacing w:before="156" w:beforeLines="50" w:after="156" w:afterLines="50"/>
        <w:rPr>
          <w:rFonts w:cs="Times New Roman"/>
          <w:b/>
        </w:rPr>
      </w:pPr>
    </w:p>
    <w:p>
      <w:pPr>
        <w:spacing w:before="156" w:beforeLines="50" w:after="156" w:afterLines="50"/>
        <w:rPr>
          <w:rFonts w:cs="Times New Roman"/>
          <w:b/>
        </w:rPr>
      </w:pPr>
      <w:r>
        <w:rPr>
          <w:rFonts w:hint="eastAsia" w:cs="Times New Roman"/>
          <w:b/>
        </w:rPr>
        <w:t>区域性商业银行：</w:t>
      </w:r>
    </w:p>
    <w:tbl>
      <w:tblPr>
        <w:tblStyle w:val="14"/>
        <w:tblW w:w="8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4031"/>
        <w:gridCol w:w="2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403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银行名称</w:t>
            </w:r>
          </w:p>
        </w:tc>
        <w:tc>
          <w:tcPr>
            <w:tcW w:w="280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风险控制能力得分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珠海华润银行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浙江稠州商业银行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福建海峡银行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德阳银行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齐鲁银行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苏州银行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富滇银行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日照银行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泰安市商业银行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南海农村商业银行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广东顺德农村商业银行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龙江银行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广西北部湾银行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锦州银行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徽商银行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哈尔滨银行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包商银行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太仓农村商业银行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华融湘江银行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南充市商业银行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鄞州银行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汉口银行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广东南粤银行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长安银行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晋城银行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晋商银行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威海市商业银行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攀枝花市商业银行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重庆三峡银行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莱商银行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临商银行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六盘水商业银行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沧州银行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中山农村商业银行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抚顺市商业银行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上饶银行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瑞丰银行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长沙银行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江苏邳州农村商业银行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江苏吴江农村商业银行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杭州联合农村商业银行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昆仑银行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嘉兴银行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黄河农村商业银行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石嘴山银行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德清农村商业银行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齐商银行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东营商业银行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秦皇岛市商业银行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柳州银行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浙江民泰商业银行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郑州银行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盛京银行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路桥农村合作银行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扬州农村商业银行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西安银行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宁夏银行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九江银行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新会农村商业银行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平顶山商业银行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洛阳银行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余杭农村合作银行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江南农村商业银行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张家港农村商业银行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桂林银行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丹东市商业银行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97</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辽阳银行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57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40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玉溪商业银行</w:t>
            </w:r>
          </w:p>
        </w:tc>
        <w:tc>
          <w:tcPr>
            <w:tcW w:w="28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0.16 </w:t>
            </w:r>
          </w:p>
        </w:tc>
      </w:tr>
    </w:tbl>
    <w:p>
      <w:pPr>
        <w:spacing w:before="156" w:beforeLines="50" w:after="156" w:afterLines="50"/>
        <w:rPr>
          <w:rFonts w:cs="Times New Roman"/>
          <w:b/>
        </w:rPr>
      </w:pPr>
      <w:r>
        <w:rPr>
          <w:rFonts w:hint="eastAsia" w:cs="Times New Roman"/>
          <w:b/>
        </w:rPr>
        <w:t>资料来源：普益财富</w:t>
      </w:r>
    </w:p>
    <w:p>
      <w:pPr>
        <w:spacing w:before="156" w:beforeLines="50" w:after="156" w:afterLines="50"/>
        <w:rPr>
          <w:rFonts w:cs="Times New Roman"/>
          <w:b/>
        </w:rPr>
      </w:pPr>
    </w:p>
    <w:p>
      <w:pPr>
        <w:spacing w:before="156" w:beforeLines="50" w:after="156" w:afterLines="50"/>
        <w:outlineLvl w:val="1"/>
        <w:rPr>
          <w:b/>
        </w:rPr>
      </w:pPr>
      <w:r>
        <w:rPr>
          <w:rFonts w:hint="eastAsia"/>
          <w:b/>
        </w:rPr>
        <w:t>理财产品丰富性：中信、交通、光大居全国性银行前三，东莞、哈尔滨、北京居区域性银行前三</w:t>
      </w:r>
    </w:p>
    <w:p>
      <w:pPr>
        <w:spacing w:before="156" w:beforeLines="50" w:after="156" w:afterLines="50"/>
        <w:ind w:firstLine="420" w:firstLineChars="200"/>
      </w:pPr>
      <w:r>
        <w:rPr>
          <w:rFonts w:hint="eastAsia"/>
        </w:rPr>
        <w:t>2015年2季度，全国性商业银行中，理财产品丰富性排名前五的银行依次是中信银行、交通银行、光大银行、招商银行和兴业银行。</w:t>
      </w:r>
    </w:p>
    <w:p>
      <w:pPr>
        <w:spacing w:before="156" w:beforeLines="50" w:after="156" w:afterLines="50"/>
        <w:ind w:firstLine="420" w:firstLineChars="200"/>
      </w:pPr>
      <w:r>
        <w:rPr>
          <w:rFonts w:hint="eastAsia"/>
        </w:rPr>
        <w:t>整体来看，排名靠前的全国性商业银行在丰富性项目下的包括收益类型、投资币种、投资对象、投资期限、投资起点共五个子项目中的至少三个上都有较为突出的表现。中信银行在2015年2季度位列理财产品丰富性第一位，该行在收益类型、投资币种、投资对象、投资期限和投资起点类型上都得到了高分，因此总分排名第1位。交通银行紧随中信银行之后排名第2位，该行在收益类型、投资对象、投资期限3个子项目得分上与中信银行一样，在投资币种得分上高于中信银行，不过该行在投资起点类型上得分落后中信银行稍多，因而整体表现优秀位列丰富性总分第2位。</w:t>
      </w:r>
    </w:p>
    <w:p>
      <w:pPr>
        <w:spacing w:before="156" w:beforeLines="50" w:after="156" w:afterLines="50"/>
        <w:ind w:firstLine="420" w:firstLineChars="200"/>
      </w:pPr>
      <w:r>
        <w:rPr>
          <w:rFonts w:hint="eastAsia"/>
        </w:rPr>
        <w:t>国有银行中，除了交通银行在丰富性上排名靠前外，其余银行在2015年2季度的排名的分化显著。中国银行、农业银行排名在前10位之内，中国银行在产品投资对象类型上得分偏低；建设银行和工商银行在收益类型类型、投资对象以及投资期限类型三个子项上得分均较低，因而整体表现不佳。</w:t>
      </w:r>
    </w:p>
    <w:p>
      <w:pPr>
        <w:spacing w:before="156" w:beforeLines="50" w:after="156" w:afterLines="50"/>
        <w:ind w:firstLine="420" w:firstLineChars="200"/>
      </w:pPr>
      <w:r>
        <w:rPr>
          <w:rFonts w:hint="eastAsia"/>
        </w:rPr>
        <w:t>2015年2季度，区域性商业银行中，理财产品丰富性排名前十的银行依次是东莞银行、哈尔滨银行、北京银行、杭州银行、河北银行、南京银行、青岛银行、江苏银行、富滇银行、和广州农商银行。</w:t>
      </w:r>
    </w:p>
    <w:p>
      <w:pPr>
        <w:spacing w:before="156" w:beforeLines="50" w:after="156" w:afterLines="50"/>
        <w:ind w:firstLine="420" w:firstLineChars="200"/>
      </w:pPr>
      <w:r>
        <w:rPr>
          <w:rFonts w:hint="eastAsia"/>
        </w:rPr>
        <w:t>整体来看，区域性商业银行的产品丰富程度仍然显著低于全国性商业银行，在投资币种类型方面仍然只有北京银行、宁波银行和上海银行发行了外币理财产品（均为美元理财产品），其余银行均仅发行了人民币理财产品；在投资对象、投资期限和投资起点类型方面，区域性商业银行整体表现也不及全国性商业银行，而且，区域性银行内部在各子项的得分上的分化也非常明显。</w:t>
      </w:r>
    </w:p>
    <w:p>
      <w:pPr>
        <w:spacing w:before="156" w:beforeLines="50"/>
        <w:rPr>
          <w:b/>
        </w:rPr>
      </w:pPr>
      <w:r>
        <w:rPr>
          <w:rFonts w:hint="eastAsia"/>
          <w:b/>
        </w:rPr>
        <w:t>表4：理财产品丰富性排行榜（2015年2季度）</w:t>
      </w:r>
    </w:p>
    <w:p>
      <w:pPr>
        <w:spacing w:before="156" w:beforeLines="50" w:after="156" w:afterLines="50"/>
        <w:rPr>
          <w:rFonts w:cs="Times New Roman"/>
          <w:b/>
        </w:rPr>
      </w:pPr>
      <w:r>
        <w:rPr>
          <w:rFonts w:hint="eastAsia" w:cs="Times New Roman"/>
          <w:b/>
        </w:rPr>
        <w:t>全国性商业银行：</w:t>
      </w:r>
    </w:p>
    <w:tbl>
      <w:tblPr>
        <w:tblStyle w:val="14"/>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7"/>
        <w:gridCol w:w="5064"/>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排名</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银行名称</w:t>
            </w:r>
          </w:p>
        </w:tc>
        <w:tc>
          <w:tcPr>
            <w:tcW w:w="17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丰富性得分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中信银行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交通银行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中国光大银行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招商银行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兴业银行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平安银行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广发银行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中国银行</w:t>
            </w:r>
          </w:p>
        </w:tc>
        <w:tc>
          <w:tcPr>
            <w:tcW w:w="179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渤海银行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中国工商银行</w:t>
            </w:r>
          </w:p>
        </w:tc>
        <w:tc>
          <w:tcPr>
            <w:tcW w:w="179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中国农业银行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华夏银行</w:t>
            </w:r>
          </w:p>
        </w:tc>
        <w:tc>
          <w:tcPr>
            <w:tcW w:w="179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中国建设银行</w:t>
            </w:r>
          </w:p>
        </w:tc>
        <w:tc>
          <w:tcPr>
            <w:tcW w:w="179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中国邮政储蓄银行</w:t>
            </w:r>
          </w:p>
        </w:tc>
        <w:tc>
          <w:tcPr>
            <w:tcW w:w="179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506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中国民生银行</w:t>
            </w:r>
          </w:p>
        </w:tc>
        <w:tc>
          <w:tcPr>
            <w:tcW w:w="1791"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浙商银行</w:t>
            </w:r>
          </w:p>
        </w:tc>
        <w:tc>
          <w:tcPr>
            <w:tcW w:w="179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上海浦东发展银行</w:t>
            </w:r>
          </w:p>
        </w:tc>
        <w:tc>
          <w:tcPr>
            <w:tcW w:w="179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0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恒丰银行</w:t>
            </w:r>
          </w:p>
        </w:tc>
        <w:tc>
          <w:tcPr>
            <w:tcW w:w="179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7.10</w:t>
            </w:r>
          </w:p>
        </w:tc>
      </w:tr>
    </w:tbl>
    <w:p>
      <w:pPr>
        <w:widowControl/>
        <w:jc w:val="center"/>
        <w:rPr>
          <w:rFonts w:ascii="宋体" w:hAnsi="宋体" w:cs="宋体"/>
          <w:kern w:val="0"/>
          <w:sz w:val="18"/>
          <w:szCs w:val="18"/>
        </w:rPr>
      </w:pPr>
    </w:p>
    <w:p>
      <w:pPr>
        <w:spacing w:before="156" w:beforeLines="50" w:after="156" w:afterLines="50"/>
        <w:rPr>
          <w:rFonts w:cs="Times New Roman"/>
          <w:b/>
        </w:rPr>
      </w:pPr>
      <w:r>
        <w:rPr>
          <w:rFonts w:hint="eastAsia" w:cs="Times New Roman"/>
          <w:b/>
        </w:rPr>
        <w:t>区域性商业银行：</w:t>
      </w:r>
    </w:p>
    <w:tbl>
      <w:tblPr>
        <w:tblStyle w:val="14"/>
        <w:tblW w:w="8647"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2"/>
        <w:gridCol w:w="5103"/>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排名</w:t>
            </w:r>
          </w:p>
        </w:tc>
        <w:tc>
          <w:tcPr>
            <w:tcW w:w="510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银行名称</w:t>
            </w:r>
          </w:p>
        </w:tc>
        <w:tc>
          <w:tcPr>
            <w:tcW w:w="1842"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丰富性得分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哈尔滨银行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富滇银行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福建海峡银行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长沙银行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莱商银行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包商银行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珠海华润银行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广东顺德农村商业银行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齐鲁银行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佛山农村商业银行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乌鲁木齐商业银行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德阳银行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华融湘江银行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西安银行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昆仑银行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宁夏银行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长安银行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广东南粤银行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龙江银行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晋城银行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湖北银行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丹东市商业银行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乐清农村商业银行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郑州银行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徽商银行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沧州银行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内蒙古银行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长治潞州农村商业银行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中山农村商业银行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端州农村商业银行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锦州银行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浙江民泰商业银行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盛京银行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常熟农村商业银行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汉口银行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尧都农村商业银行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运城农村商业银行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浙江稠州商业银行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江南农村商业银行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晋商银行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路桥农合行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甘肃银行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绵阳商业银行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焦作商业银行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阜新银行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桐庐农村合作社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青海银行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德州商业银行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淮海银行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武汉农村商业银行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泰安市商业银行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鄞州银行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石嘴山银行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嘉兴银行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九江银行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桂林银行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朝阳市商业银行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滨海农村商业银行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日照银行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江门融和农村商业银行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唐山市商业银行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eastAsia="zh-CN"/>
              </w:rPr>
              <w:t>深圳</w:t>
            </w:r>
            <w:r>
              <w:rPr>
                <w:rFonts w:hint="eastAsia" w:ascii="宋体" w:hAnsi="宋体" w:cs="宋体"/>
                <w:color w:val="000000"/>
                <w:kern w:val="0"/>
                <w:sz w:val="18"/>
                <w:szCs w:val="18"/>
              </w:rPr>
              <w:t>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海口农村商业银行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长子农村商业银行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广西北部湾银行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南充市商业银行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杭州联合农村商业银行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抚顺市商业银行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东营商业银行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平顶山商业银行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吉林银行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鹿城农村商业银行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龙湾农村商业银行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慈溪农村合作银行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山西潞城农村商业银行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余姚农村合作银行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乡宁农村商业银行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辽阳银行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伊金霍洛农村商业银行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临商银行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德清农村商业银行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广东华兴银行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张家港农村商业银行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新会农村商业银行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玉溪商业银行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遂宁商业银行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海盐农村信用合作社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萧山农村商业银行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九台农村商业银行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贵州农村商业银行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平遥农村商业银行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瑞丰银行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长春农村商业银行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文成农村信用合作社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榆次农村商业银行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绍兴恒信合作银行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松阳农村信用合作社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兰溪农村合作银行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宁波通商银行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石狮农村商业银行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苏州银行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太仓农村商业银行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江苏吴江农村商业银行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齐商银行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江阴农村商业银行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张家口商业银行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连云港东方农村商业银行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苍南农村商业银行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大丰农村商业银行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铜山农村信用合作社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连江县农村信用合作社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侯马农村商业银行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晋江农村商业银行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海安农村商业银行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葫芦岛商行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金华成泰农村商业银行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磐安农村信用合作社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温岭农村合作银行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台州椒江农村合作银行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高要农村商业银行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仪征农村商业银行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重庆三峡银行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秦皇岛市商业银行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柳州银行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洛阳银行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无锡农村商业银行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鄂尔多斯商业银行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义务农村商业银行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营口沿海银行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瑞安农村商业银行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宜宾市商业银行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射阳农村商业银行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仪陇农村商业银行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寿阳农村商业银行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温州瓯海农村商业银行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稷山农村信用合作社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晋中商业银行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183</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盐城黄海农村商业银行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马鞍山农村商业银行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阳泉市郊区农村信用合作社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江苏邳州农村商业银行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黄河农村商业银行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上饶银行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余杭农村合作银行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扬州农村商业银行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泗洪农村商业银行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中原银行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乐山市商业银行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江都农村商业银行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富阳农村商业银行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临安农村信用合作社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长兴农村合作银行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嘉善农村商业银行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海宁农村商业银行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武义农村合作银行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合肥科技农村商业银行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天山农村商业银行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嵊泗农村信用合作社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淳安农村信用合作社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鞍山商业银行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清远农村商业银行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惠安农村信用合作社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高密农村商业银行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德化农村信用合作社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圣泰农村合作银行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漳州农村商业银行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安溪农村信用合作社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214</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四会农村商业银行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攀枝花市商业银行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呼和浩特金谷农村商业银行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如东农村商业银行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玉环农村合作银行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兴化农村商业银行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洞头农村信用合作社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长乐农村信用合作社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建德农村信用合作社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邢台商业银行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东阳农村商业银行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延边农村商业银行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新昌农村商业银行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舟山定海海洋农村商业银行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铁岭商业银行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龙游农村信用合作社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朔州平鲁农村信用合作社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青田农村商业银行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台州黄岩农村合作银行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启东农村商业银行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靖江农村商业银行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南浔农村商业银行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平湖农村合作银行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诸暨农村商业银行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榆中农村合作银行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灵石农村商业银行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河北邢台农村商业银行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新沂农村商业银行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紫金农村商业银行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昌邑农村商业银行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惠东农村商业银行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开化农村信用合作社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官渡农村合作银行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云南红塔农村合作银行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江苏宜兴农村商业银行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平阳农村信用合作社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民丰农村商业银行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曲靖商业银行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禹城农村商业银行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朔州市朔城区农村信用合作社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姜堰农村商业银行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永康农村商业银行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龙泉农村信用合作社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禾城农村商业银行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衢州柯城农村商业银行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岱山农村信用合作社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三门农村信用合作社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嵊州农村合作银行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浦江农村信用合作社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桐乡农村信用合作社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淮安农村商业银行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永春县农村信用合作社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景宁畲族农村信用合作社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泽州农村信用合作社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象山农村信用合作社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河津农村商业银行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寿光农村商业银行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上杭农村商业银行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275</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莱州农村商业银行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睢宁农村商业银行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安吉农村商业银行</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702"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510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云和县农村信用合作社</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3.30 </w:t>
            </w:r>
          </w:p>
        </w:tc>
      </w:tr>
    </w:tbl>
    <w:p>
      <w:pPr>
        <w:spacing w:before="156" w:beforeLines="50" w:after="156" w:afterLines="50"/>
        <w:rPr>
          <w:rFonts w:cs="Times New Roman"/>
          <w:b/>
        </w:rPr>
      </w:pPr>
      <w:r>
        <w:rPr>
          <w:rFonts w:hint="eastAsia" w:cs="Times New Roman"/>
          <w:b/>
        </w:rPr>
        <w:t>资料来源：普益财富</w:t>
      </w:r>
    </w:p>
    <w:p>
      <w:pPr>
        <w:spacing w:before="156" w:beforeLines="50" w:after="156" w:afterLines="50"/>
        <w:rPr>
          <w:rFonts w:cs="Times New Roman"/>
          <w:b/>
        </w:rPr>
      </w:pPr>
    </w:p>
    <w:p>
      <w:pPr>
        <w:spacing w:before="156" w:beforeLines="50" w:after="156" w:afterLines="50"/>
        <w:outlineLvl w:val="1"/>
        <w:rPr>
          <w:b/>
        </w:rPr>
      </w:pPr>
      <w:r>
        <w:rPr>
          <w:rFonts w:hint="eastAsia"/>
          <w:b/>
        </w:rPr>
        <w:t>信息披露规范性：招商、浙商、兴业居全国性银行前三，南京、青岛、宁波居区域性银行前三</w:t>
      </w:r>
    </w:p>
    <w:p>
      <w:pPr>
        <w:spacing w:before="156" w:beforeLines="50" w:after="156" w:afterLines="50"/>
        <w:ind w:firstLine="420" w:firstLineChars="200"/>
      </w:pPr>
      <w:r>
        <w:rPr>
          <w:rFonts w:hint="eastAsia"/>
        </w:rPr>
        <w:t>2015年2季度，全国性商业银行中，信息披露规范性排名前五的银行依次是招商银行、浙商银行、兴业银行、民生银行和华夏银行。</w:t>
      </w:r>
    </w:p>
    <w:p>
      <w:pPr>
        <w:spacing w:before="156" w:beforeLines="50" w:after="156" w:afterLines="50"/>
        <w:ind w:firstLine="420" w:firstLineChars="200"/>
      </w:pPr>
      <w:r>
        <w:rPr>
          <w:rFonts w:hint="eastAsia"/>
        </w:rPr>
        <w:t>整体来看，全国性商业银行在信息披露方面的表现仍然不及区域性商业银行，从排名前18位的区域性商业银行与全国性商业银行的比较可以看出，全国性商业银行在发行、到期和运行信息三个子项上的平均得分均低于排名前18位的区域性商业银行，尤其是运行信息平均得分的差距达1.47分（此子项满分为5分），此差距较第一季度有所扩大。</w:t>
      </w:r>
    </w:p>
    <w:p>
      <w:pPr>
        <w:spacing w:before="156" w:beforeLines="50" w:after="156" w:afterLines="50"/>
        <w:ind w:firstLine="420" w:firstLineChars="200"/>
      </w:pPr>
      <w:r>
        <w:rPr>
          <w:rFonts w:hint="eastAsia"/>
        </w:rPr>
        <w:t>在全国性商业银行中，招商银行排名首位，该行除了运行信息披露得分偏低外，发行和到期信息的披露得分都名列前茅，因而总分较高。排名二、三位的浙商银行与兴业银行在运行信息得分上在全国性银行中排名较高，但发行信息得分表现较弱。其他排名靠前的全国性商业银行在发行和到期信息披露方面尽管都表现尚佳，但是大部分银行都存在季度内各月公布的产品公告数量与当月运行的产品数量匹配严重失衡的情况，如恒丰银行在第二季度没有相关产品的运行公告发布，因此运行信息得分不太理想。再加上还有部分银行在发行信息、到期信息披露中的1项甚至2项表现不佳，因而使得信息披露规范性总分受到严重拖累。</w:t>
      </w:r>
    </w:p>
    <w:p>
      <w:pPr>
        <w:spacing w:before="156" w:beforeLines="50" w:after="156" w:afterLines="50"/>
        <w:ind w:firstLine="420" w:firstLineChars="200"/>
      </w:pPr>
      <w:r>
        <w:rPr>
          <w:rFonts w:hint="eastAsia"/>
        </w:rPr>
        <w:t>区域性商业银行中，2015年2季度信息披露规范性排名前十的银行依次是南京银行、青岛银行、宁波银行、锦州银行、苏州银行、江苏银行、珠海华润银行、南海农商银行、北部湾银行和莱商银行。</w:t>
      </w:r>
    </w:p>
    <w:p>
      <w:pPr>
        <w:spacing w:before="156" w:beforeLines="50" w:after="156" w:afterLines="50"/>
        <w:ind w:firstLine="420" w:firstLineChars="200"/>
      </w:pPr>
      <w:r>
        <w:rPr>
          <w:rFonts w:hint="eastAsia"/>
        </w:rPr>
        <w:t>2015年2季度，信息披露规范性排名位居前列的区域性商业银行虽然产品发行量和到期量普遍低于全国性商业银行，但是这些银行不仅在产品发行信息和到期信息的透明度与完备性上表现卓越，而且在产品运行信息披露上也做到了运行公告与当期运行产品的较好匹配，因而这些银行的信息披露总分大都超过全国性商业银行。</w:t>
      </w:r>
    </w:p>
    <w:p>
      <w:pPr>
        <w:spacing w:before="156" w:beforeLines="50" w:after="156" w:afterLines="50"/>
        <w:ind w:firstLine="420" w:firstLineChars="200"/>
      </w:pPr>
      <w:r>
        <w:rPr>
          <w:rFonts w:hint="eastAsia"/>
        </w:rPr>
        <w:t>从单项得分上来看，在发行信息披露方面，招商银行、平安银行、南京银行、杭州银行和中信银行排名居前，这些银行不仅在披露的产品数量方面表现不错，而且在披露的信息质量上优于其他银行；在到期信息披露方面，民生银行、华夏银行、招商银行、江苏银行和兴业银行排名居前，这些银行披露的具有到期收益率的产品数量和其在该行整体到期产品中的占比都较其他银行表现更好；在运行信息披露方面，晋城银行、江南农商、苏州银行、莱商银行和锦州银行排名居前。</w:t>
      </w:r>
    </w:p>
    <w:p>
      <w:pPr>
        <w:spacing w:before="156" w:beforeLines="50" w:after="156" w:afterLines="50"/>
        <w:ind w:firstLine="420" w:firstLineChars="200"/>
      </w:pPr>
      <w:r>
        <w:rPr>
          <w:rFonts w:hint="eastAsia"/>
        </w:rPr>
        <w:t>整体来看，纳入排名的银行中，接近一半的银行披露了产品运行信息，但是仍然有较多银行在2015年2季度没有对其运行期内的任何产品披露运行公告。同时，我们也注意到部分银行的信息披露在季度间的波动性很大的情况仍然存在，尤其是部分银行的运行信息披露质量和数量存在时好时坏的情况，这导致这些银行在该单项上的得分出现显著的季度波动，这从一个侧面反映出部分银行在理财业务的管理及内部控制上需要进一步加强，以保持信息披露的持续性和一贯性。</w:t>
      </w:r>
    </w:p>
    <w:p>
      <w:pPr>
        <w:spacing w:before="156" w:beforeLines="50"/>
        <w:rPr>
          <w:b/>
        </w:rPr>
      </w:pPr>
      <w:r>
        <w:rPr>
          <w:rFonts w:hint="eastAsia"/>
          <w:b/>
        </w:rPr>
        <w:t>表5：信息披露规范性排行榜（2015年2季度）</w:t>
      </w:r>
    </w:p>
    <w:p>
      <w:pPr>
        <w:spacing w:before="156" w:beforeLines="50" w:after="156" w:afterLines="50"/>
        <w:rPr>
          <w:rFonts w:cs="Times New Roman"/>
          <w:b/>
        </w:rPr>
      </w:pPr>
      <w:r>
        <w:rPr>
          <w:rFonts w:hint="eastAsia" w:cs="Times New Roman"/>
          <w:b/>
        </w:rPr>
        <w:t>全国性商业银行：</w:t>
      </w:r>
    </w:p>
    <w:tbl>
      <w:tblPr>
        <w:tblStyle w:val="14"/>
        <w:tblW w:w="8543"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2"/>
        <w:gridCol w:w="1898"/>
        <w:gridCol w:w="1335"/>
        <w:gridCol w:w="1325"/>
        <w:gridCol w:w="1334"/>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排名</w:t>
            </w:r>
          </w:p>
        </w:tc>
        <w:tc>
          <w:tcPr>
            <w:tcW w:w="189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银行名称</w:t>
            </w:r>
          </w:p>
        </w:tc>
        <w:tc>
          <w:tcPr>
            <w:tcW w:w="13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发行信息得分</w:t>
            </w:r>
          </w:p>
        </w:tc>
        <w:tc>
          <w:tcPr>
            <w:tcW w:w="13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到期信息得分</w:t>
            </w:r>
          </w:p>
        </w:tc>
        <w:tc>
          <w:tcPr>
            <w:tcW w:w="13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运行信息得分</w:t>
            </w:r>
          </w:p>
        </w:tc>
        <w:tc>
          <w:tcPr>
            <w:tcW w:w="13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信息披露规范性得分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招商银行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8.79</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8.44</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2.29</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2"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浙商银行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7.79</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7.87</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3.32</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898"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兴业银行</w:t>
            </w:r>
          </w:p>
        </w:tc>
        <w:tc>
          <w:tcPr>
            <w:tcW w:w="1335"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7.74</w:t>
            </w:r>
          </w:p>
        </w:tc>
        <w:tc>
          <w:tcPr>
            <w:tcW w:w="1325"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8.37</w:t>
            </w:r>
          </w:p>
        </w:tc>
        <w:tc>
          <w:tcPr>
            <w:tcW w:w="1334"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2.80</w:t>
            </w:r>
          </w:p>
        </w:tc>
        <w:tc>
          <w:tcPr>
            <w:tcW w:w="1389"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中国民生银行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7.35</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8.8</w:t>
            </w:r>
            <w:r>
              <w:rPr>
                <w:rFonts w:hint="eastAsia" w:ascii="宋体" w:hAnsi="宋体" w:cs="宋体"/>
                <w:kern w:val="0"/>
                <w:sz w:val="18"/>
                <w:szCs w:val="18"/>
              </w:rPr>
              <w:t>4</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2.46</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18.6</w:t>
            </w:r>
            <w:r>
              <w:rPr>
                <w:rFonts w:hint="eastAsia" w:ascii="宋体" w:hAnsi="宋体" w:cs="宋体"/>
                <w:kern w:val="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898"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华夏银行</w:t>
            </w:r>
          </w:p>
        </w:tc>
        <w:tc>
          <w:tcPr>
            <w:tcW w:w="1335"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8.31</w:t>
            </w:r>
          </w:p>
        </w:tc>
        <w:tc>
          <w:tcPr>
            <w:tcW w:w="1325"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8.53</w:t>
            </w:r>
          </w:p>
        </w:tc>
        <w:tc>
          <w:tcPr>
            <w:tcW w:w="1334"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1.68</w:t>
            </w:r>
          </w:p>
        </w:tc>
        <w:tc>
          <w:tcPr>
            <w:tcW w:w="1389"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中国工商银行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7.82</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8.23</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2.12</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中国光大银行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6.98</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8.32</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2.35</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中国邮政储蓄银行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8.43</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8.34</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0.68</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中信银行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8.47</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6.35</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2.05</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广发银行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8.43</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7.37</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0.94</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农业银行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8.34</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6.91</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0.53</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渤海银行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7.14</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8.02</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0.39</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交通银行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7.03</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6.42</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1.42</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平安银行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8.59</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4.38</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0.94</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898"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中国建设银行</w:t>
            </w:r>
          </w:p>
        </w:tc>
        <w:tc>
          <w:tcPr>
            <w:tcW w:w="1335"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7.43</w:t>
            </w:r>
          </w:p>
        </w:tc>
        <w:tc>
          <w:tcPr>
            <w:tcW w:w="1325"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3.51</w:t>
            </w:r>
          </w:p>
        </w:tc>
        <w:tc>
          <w:tcPr>
            <w:tcW w:w="1334"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1.59</w:t>
            </w:r>
          </w:p>
        </w:tc>
        <w:tc>
          <w:tcPr>
            <w:tcW w:w="1389"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中国银行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4.37</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6.47</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1.63</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上海浦东发展银行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5.47</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2.18</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0.24</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898"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恒丰银行</w:t>
            </w:r>
          </w:p>
        </w:tc>
        <w:tc>
          <w:tcPr>
            <w:tcW w:w="133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2.85</w:t>
            </w:r>
          </w:p>
        </w:tc>
        <w:tc>
          <w:tcPr>
            <w:tcW w:w="13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4.80</w:t>
            </w:r>
          </w:p>
        </w:tc>
        <w:tc>
          <w:tcPr>
            <w:tcW w:w="1334"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0.00</w:t>
            </w:r>
          </w:p>
        </w:tc>
        <w:tc>
          <w:tcPr>
            <w:tcW w:w="138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ascii="宋体" w:hAnsi="宋体" w:cs="宋体"/>
                <w:kern w:val="0"/>
                <w:sz w:val="18"/>
                <w:szCs w:val="18"/>
              </w:rPr>
              <w:t>7.65</w:t>
            </w:r>
          </w:p>
        </w:tc>
      </w:tr>
    </w:tbl>
    <w:p>
      <w:pPr>
        <w:spacing w:before="156" w:beforeLines="50" w:after="156" w:afterLines="50"/>
        <w:rPr>
          <w:rFonts w:cs="Times New Roman"/>
          <w:b/>
        </w:rPr>
      </w:pPr>
    </w:p>
    <w:p>
      <w:pPr>
        <w:spacing w:before="156" w:beforeLines="50" w:after="156" w:afterLines="50"/>
        <w:rPr>
          <w:rFonts w:cs="Times New Roman"/>
          <w:b/>
        </w:rPr>
      </w:pPr>
      <w:r>
        <w:rPr>
          <w:rFonts w:hint="eastAsia" w:cs="Times New Roman"/>
          <w:b/>
        </w:rPr>
        <w:t>区域性商业银行：</w:t>
      </w:r>
    </w:p>
    <w:tbl>
      <w:tblPr>
        <w:tblStyle w:val="14"/>
        <w:tblW w:w="83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1985"/>
        <w:gridCol w:w="1276"/>
        <w:gridCol w:w="1275"/>
        <w:gridCol w:w="1418"/>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198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银行名称</w:t>
            </w:r>
          </w:p>
        </w:tc>
        <w:tc>
          <w:tcPr>
            <w:tcW w:w="127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发行信息得分</w:t>
            </w:r>
          </w:p>
        </w:tc>
        <w:tc>
          <w:tcPr>
            <w:tcW w:w="127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到期信息得分</w:t>
            </w:r>
          </w:p>
        </w:tc>
        <w:tc>
          <w:tcPr>
            <w:tcW w:w="141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运行信息得分</w:t>
            </w:r>
          </w:p>
        </w:tc>
        <w:tc>
          <w:tcPr>
            <w:tcW w:w="123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信息披露规范性得分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3.64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锦州银行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苏州银行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4.16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2.30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珠海华润银行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3.17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18.81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3.65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北部湾银行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3.62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莱商银行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6.53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4.08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18.17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日照银行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2.38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2.12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2.05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稠州商业银行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1.34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2.98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2.59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3.11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包商银行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7.23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1.82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哈尔滨银行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1.42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德阳银行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1.93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黄河农村商业银行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1.79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海峡银行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鄞州银行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3.68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0.35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广东顺德农村商业银行行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7.53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0.30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齐鲁银行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龙江银行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徽商银行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3.04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泰安商业银行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汉口银行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6.97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华融湘江银行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晋商银行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6.53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2.28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南粤银行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0.63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南充商业银行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富滇银行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临商银行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晋城银行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杭州联合银行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0.62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长安银行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3.83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上饶银行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6.33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沧州银行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郑州银行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昆仑银行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太仓农村商业银行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3.68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邳州农村商业银行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民泰商业银行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抚顺银行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中山农村商业银行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西安银行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0.73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3.95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6.43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德清农村商业银行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长沙银行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盛京银行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3.95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齐商银行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石嘴山银行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1.94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平顶山商业银行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江南农村商业银行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吴江农村商业银行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瑞丰银行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路桥农村合作银行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秦皇岛商业银行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柳州银行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5.36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湖北银行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嘉兴银行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华兴银行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甘肃银行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吉林银行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九江银行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3.02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泗洪农村商业银行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内蒙古银行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新沂农村商业银行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2.93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中原银行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6.91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东营商业银行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4.94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江都农村商业银行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江门农村商业银行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六盘水商业银行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扬州农村商业银行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张家港农村商业银行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余杭农村合作银行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2.03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葫芦岛商业银行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宁夏银行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3.08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2.94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深圳农村商业银行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张家口商业银行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鄂尔多斯商业银行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绵阳商业银行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4.31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海安农村商业银行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遂宁商业银行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德州商业银行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长春农村商业银行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青海银行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乐山商业银行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无锡农村商业银行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新会农村商业银行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义乌农村商业银行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贵州银行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洛阳银行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海口农村商业银行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乐清农村商业银行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乌鲁木齐商业银行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铜山农村信用合作社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宁波东海银行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宁波通商</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苍南农村商业银行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龙湾农村商业银行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慈溪农村合作银行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朝阳商业银行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呼和浩特金谷农村商业银行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桐庐农村合作银行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丹东商业银行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0.77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瑞安农村商业银行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唐山银行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富阳农村商业银行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玉环农村合作银行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桂林银行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2.39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兴化农村商业银行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金华成泰农村商业银行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文成农村信用合作社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营口沿海银行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嘉善农村商业银行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温岭农村合作银行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宜宾商业银行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紫金农村商业银行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长兴农村合作银行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临安农村信用合作社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平阳农村信用合作社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海宁农村商业银行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阜新银行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东阳农村商业银行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建德农村信用合作社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武义农村合作银行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邢台商业银行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绍兴恒信合行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大丰农村商业银行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鹿城农村商业银行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武汉农村商业银行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射阳农村商业银行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嵊泗农村信用合作社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松阳农村信用合作社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玉溪商业银行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0.11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连云港东方农村商业银行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如东农村商业银行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3.28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铁岭商业银行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洞头农村信用合作社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龙游农村信用合作社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新昌农村商业银行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青田农村商业银行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九台农村商业银行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曲靖商业银行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民丰农村商业银行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禾城农村商业银行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姜堰农村商业银行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仪征农村商业银行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台州黄岩农村合作银行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台州椒江农村合作银行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江苏宜兴农村商业银行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江阴农村商业银行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岱山农村信用合作社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安吉农村商业银行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衢州柯城农村商业银行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嵊州农村合作银行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三门农村信用合作社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睢宁农村商业银行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滨海农村商业银行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常熟农村商业银行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淳安农村信用合作社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靖江农村商业银行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鞍山商业银行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2.90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淮海银行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海盐农村信用合作社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盐城黄海农村商业银行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启东农村商业银行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辽阳银行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0.17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萧山农村合作银行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舟山定海海洋农村商业银行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长治潞州农村商业银行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龙泉农村信用合作社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磐安农村信用合作社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兰溪农村合作银行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南浔农村商业银行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平湖农村合作银行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诸暨农村商业银行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端州农村商业银行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焦作商业银行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淮安农村商业银行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开化农村信用合作社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浦江农村信用合作社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桐乡农村信用合作社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高要农村商业银行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222</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佛山农村商业银行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尧都农村商业银行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运城农村商业银行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晋江农村商业银行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石狮农村商业银行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潞城农村商业银行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平遥农村商业银行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余姚农村合作银行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清远农村商业银行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长子农村商业银行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合肥科技农村商业银行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233</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乡宁农村商业银行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惠安农村信用合作社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伊金霍洛农村商业银行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四会农村商业银行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官渡农村合作银行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稷山农村信用合作社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连江县农村信用合作社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昌邑农村商业银行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云南红塔农村合作银行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高密农村商业银行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温州瓯海农村商业银行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长乐农村信用合作社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马鞍山农村商业银行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禹城农村商业银行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侯马农村商业银行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榆次农村商业银行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仪陇农村商业银行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惠东农村商业银行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天山农村商业银行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251</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寿阳农村商业银行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晋中商业银行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257</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河津农村商业银行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寿光农村商业银行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德化农村信用合作社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上杭农村商业银行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圣泰农村合作银行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朔州平鲁农村信用合作社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延边农村商业银行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漳州农村商业银行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莱州农村商业银行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265</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安溪农村信用合作社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河北邢台农村商业银行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朔州市朔城区农村信用合作社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阳泉市郊区农村信用合作社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268</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永春县农村信用合作社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榆中农村合作银行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274</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灵石农村商业银行</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景宁畲族农村信用合作社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象山农村信用合作社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云和县农村信用合作社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19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泽州农村信用合作社</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123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r>
    </w:tbl>
    <w:p>
      <w:pPr>
        <w:spacing w:before="156" w:beforeLines="50" w:after="156" w:afterLines="50"/>
        <w:rPr>
          <w:rFonts w:cs="Times New Roman"/>
          <w:b/>
        </w:rPr>
      </w:pPr>
    </w:p>
    <w:p>
      <w:pPr>
        <w:spacing w:before="156" w:beforeLines="50" w:after="156" w:afterLines="50"/>
        <w:rPr>
          <w:rFonts w:cs="Times New Roman"/>
          <w:b/>
        </w:rPr>
      </w:pPr>
      <w:r>
        <w:rPr>
          <w:rFonts w:hint="eastAsia" w:cs="Times New Roman"/>
          <w:b/>
        </w:rPr>
        <w:t>资料来源：普益财富</w:t>
      </w:r>
    </w:p>
    <w:p>
      <w:pPr>
        <w:spacing w:before="156" w:beforeLines="50" w:after="156" w:afterLines="50"/>
        <w:rPr>
          <w:rFonts w:cs="Times New Roman"/>
          <w:b/>
        </w:rPr>
      </w:pPr>
    </w:p>
    <w:p>
      <w:pPr>
        <w:spacing w:before="156" w:beforeLines="50" w:after="156" w:afterLines="50"/>
        <w:outlineLvl w:val="0"/>
        <w:rPr>
          <w:b/>
          <w:sz w:val="28"/>
          <w:szCs w:val="28"/>
        </w:rPr>
      </w:pPr>
      <w:r>
        <w:rPr>
          <w:rFonts w:hint="eastAsia"/>
          <w:b/>
          <w:sz w:val="28"/>
          <w:szCs w:val="28"/>
        </w:rPr>
        <w:t>评估问卷测度</w:t>
      </w:r>
    </w:p>
    <w:p>
      <w:pPr>
        <w:spacing w:before="156" w:beforeLines="50" w:after="156" w:afterLines="50"/>
        <w:ind w:firstLine="420" w:firstLineChars="200"/>
      </w:pPr>
      <w:r>
        <w:rPr>
          <w:rFonts w:hint="eastAsia"/>
        </w:rPr>
        <w:t>2015年第2季度银行理财能力排名的评估问卷测度包括动态调查问卷和静态调查问卷，卷面总分100分，其中动态调查问卷30分，静态调查问卷70分。</w:t>
      </w:r>
    </w:p>
    <w:p>
      <w:pPr>
        <w:spacing w:before="156" w:beforeLines="50" w:after="156" w:afterLines="50"/>
        <w:rPr>
          <w:rFonts w:cs="Times New Roman"/>
          <w:b/>
        </w:rPr>
      </w:pPr>
      <w:r>
        <w:rPr>
          <w:rFonts w:hint="eastAsia" w:cs="Times New Roman"/>
          <w:b/>
        </w:rPr>
        <w:t>表6：评估问卷得分（</w:t>
      </w:r>
      <w:r>
        <w:rPr>
          <w:rFonts w:hint="eastAsia"/>
          <w:b/>
        </w:rPr>
        <w:t>2015年2季度</w:t>
      </w:r>
      <w:r>
        <w:rPr>
          <w:rFonts w:hint="eastAsia" w:cs="Times New Roman"/>
          <w:b/>
        </w:rPr>
        <w:t>）</w:t>
      </w:r>
    </w:p>
    <w:p>
      <w:pPr>
        <w:spacing w:before="156" w:beforeLines="50" w:after="156" w:afterLines="50"/>
        <w:rPr>
          <w:rFonts w:cs="Times New Roman"/>
          <w:b/>
        </w:rPr>
      </w:pPr>
      <w:r>
        <w:rPr>
          <w:rFonts w:hint="eastAsia" w:cs="Times New Roman"/>
          <w:b/>
        </w:rPr>
        <w:t>全国性商业银行：</w:t>
      </w:r>
    </w:p>
    <w:tbl>
      <w:tblPr>
        <w:tblStyle w:val="14"/>
        <w:tblW w:w="83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2161"/>
        <w:gridCol w:w="1655"/>
        <w:gridCol w:w="1716"/>
        <w:gridCol w:w="1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216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银行名称</w:t>
            </w:r>
          </w:p>
        </w:tc>
        <w:tc>
          <w:tcPr>
            <w:tcW w:w="16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动态问卷得分</w:t>
            </w:r>
          </w:p>
        </w:tc>
        <w:tc>
          <w:tcPr>
            <w:tcW w:w="171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静态问卷得分</w:t>
            </w:r>
          </w:p>
        </w:tc>
        <w:tc>
          <w:tcPr>
            <w:tcW w:w="16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评估问卷得分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兴业银行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68.58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98.58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上海浦东发展银行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24.80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68.61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中国工商银行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30.00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59.34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89.34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中国光大银行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26.50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62.05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88.55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中信银行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59.99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中国民生银行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21.50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65.33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招商银行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59.60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广发银行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59.93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平安银行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56.72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中国邮政储蓄银行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20.50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62.80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华夏银行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20.50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61.63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中国农业银行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28.00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53.60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浙商银行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24.00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53.53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交通银行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66.09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r>
              <w:rPr>
                <w:rFonts w:hint="eastAsia" w:cs="Calibri"/>
                <w:color w:val="000000"/>
                <w:kern w:val="0"/>
                <w:sz w:val="18"/>
                <w:szCs w:val="18"/>
              </w:rPr>
              <w:t>5</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r>
              <w:rPr>
                <w:rFonts w:hint="eastAsia" w:cs="Calibri"/>
                <w:color w:val="000000"/>
                <w:kern w:val="0"/>
                <w:sz w:val="18"/>
                <w:szCs w:val="18"/>
              </w:rPr>
              <w:t>5</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渤海银行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r>
              <w:rPr>
                <w:rFonts w:hint="eastAsia" w:cs="Calibri"/>
                <w:color w:val="000000"/>
                <w:kern w:val="0"/>
                <w:sz w:val="18"/>
                <w:szCs w:val="18"/>
              </w:rPr>
              <w:t>5</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中国建设银行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r>
              <w:rPr>
                <w:rFonts w:hint="eastAsia" w:cs="Calibri"/>
                <w:color w:val="000000"/>
                <w:kern w:val="0"/>
                <w:sz w:val="18"/>
                <w:szCs w:val="18"/>
              </w:rPr>
              <w:t>5</w:t>
            </w:r>
          </w:p>
        </w:tc>
        <w:tc>
          <w:tcPr>
            <w:tcW w:w="216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恒丰银行</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716"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55"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bl>
    <w:p>
      <w:pPr>
        <w:spacing w:before="156" w:beforeLines="50" w:after="156" w:afterLines="50"/>
        <w:rPr>
          <w:rFonts w:cs="Times New Roman"/>
          <w:b/>
        </w:rPr>
      </w:pPr>
      <w:r>
        <w:rPr>
          <w:rFonts w:hint="eastAsia" w:cs="Times New Roman"/>
          <w:b/>
        </w:rPr>
        <w:t>区域性商业银行：</w:t>
      </w:r>
    </w:p>
    <w:tbl>
      <w:tblPr>
        <w:tblStyle w:val="14"/>
        <w:tblW w:w="83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2185"/>
        <w:gridCol w:w="1667"/>
        <w:gridCol w:w="1667"/>
        <w:gridCol w:w="1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218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发行银行</w:t>
            </w:r>
          </w:p>
        </w:tc>
        <w:tc>
          <w:tcPr>
            <w:tcW w:w="166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动态问卷得分</w:t>
            </w:r>
          </w:p>
        </w:tc>
        <w:tc>
          <w:tcPr>
            <w:tcW w:w="166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静态问卷得分</w:t>
            </w:r>
          </w:p>
        </w:tc>
        <w:tc>
          <w:tcPr>
            <w:tcW w:w="166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评估问卷得分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27.50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68.00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94.50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26.50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4</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65.59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5</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晋商银行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64.80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6</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哈尔滨银行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23.50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58.47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7</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23.00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57.00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8</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昆仑银行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19.00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58.93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9</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61.61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76.61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10</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德阳银行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16.50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59.07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11</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12</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珠海华润银行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19.00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郑州银行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58.93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14</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徽商银行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61.05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15</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59.38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16</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长安银行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17</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龙江银行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58.43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18</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海峡银行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16.50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55.04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19</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富滇银行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59.17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20</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长沙银行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17.00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53.63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21</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北部湾银行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59.88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22</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石嘴山银行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57.77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70.27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61.10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24</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11.50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56.43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25</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26</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齐鲁银行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14.50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52.36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27</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宁夏银行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10.00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55.78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28</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包商银行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29</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15.50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46.30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30</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52.30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60.30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31</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华兴银行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12.50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47.42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32</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泰安商业银行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8.00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47.75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官渡农村合作银行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云南红塔农村合作银行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江苏宜兴农村商业银行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宁波东海银行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瑞丰银行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龙湾农村商业银行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青海银行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营口沿海银行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磐安农村信用合作社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晋江农村商业银行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洞头农村信用合作社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乐清农村商业银行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苏州银行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长乐农村信用合作社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九江银行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江阴农村商业银行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苍南农村商业银行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稠州商业银行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连江县农村信用合作社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连云港东方农村商业银行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洛阳银行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上饶银行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无锡农村商业银行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如东农村商业银行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延边农村商业银行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深圳农村商业银行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睢宁农村商业银行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朔州市朔城区农村信用合作社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马鞍山农村商业银行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邳州农村商业银行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盛京银行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嘉兴银行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宜宾商业银行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呼和浩特金谷农村商业银行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曲靖商业银行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佛山农村商业银行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吴江农村商业银行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义乌农村商业银行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海安农村商业银行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湖北银行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东营商业银行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端州农村商业银行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德州商业银行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玉溪商业银行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江门农村商业银行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榆次农村商业银行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鄞州银行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鄂尔多斯商业银行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晋城银行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贵州银行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齐商银行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南粤银行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汉口银行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文成农村信用合作社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天山农村商业银行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广东顺德农村商业银行业银行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丹东商业银行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铜山农村信用合作社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甘肃银行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锦州银行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江南农村商业银行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侯马农村商业银行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秦皇岛商业银行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张家港农村商业银行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武汉农村商业银行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朔州平鲁农村信用合作社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常熟农村商业银行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乐山商业银行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运城农村商业银行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榆中农村合作银行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南充商业银行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辽阳银行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长春农村商业银行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黄河农村商业银行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鹿城农村商业银行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日照银行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太仓农村商业银行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内蒙古银行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焦作商业银行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尧都农村商业银行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玉环农村合作银行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莱商银行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泗洪农村商业银行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瑞安农村商业银行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新会农村商业银行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民泰商业银行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吉林银行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乌鲁木齐商业银行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临商银行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宁波通商</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唐山银行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张家口商业银行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平遥农村商业银行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衢州柯城农村商业银行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淮海银行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华融湘江银行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乡宁农村商业银行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江都农村商业银行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慈溪农村合作银行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长治潞州农村商业银行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平阳农村信用合作社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潞城农村商业银行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中原银行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余杭农村合作银行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余姚农村合作银行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路桥农村合作银行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鞍山商业银行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禹城农村商业银行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新昌农村商业银行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桂林银行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平顶山商业银行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杭州联合银行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景宁畲族农村信用合作社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兴化农村商业银行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阜新银行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海口农村商业银行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朝阳商业银行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金华成泰农村商业银行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阳泉市郊区农村信用合作社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西安银行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仪陇农村商业银行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临安农村信用合作社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合肥科技农村商业银行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姜堰农村商业银行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台州黄岩农村合作银行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萧山农村商业银行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长兴农村合作银行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武义农村合作银行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嵊泗农村信用合作社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铁岭商业银行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邢台商业银行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绍兴恒信合行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葫芦岛商业银行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滨海农村商业银行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遂宁商业银行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桐庐农村合作银行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龙泉农村信用合作社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灵石农村商业银行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建德农村信用合作社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淳安农村信用合作社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泽州农村信用合作社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抚顺银行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安吉农村商业银行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绵阳商业银行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海宁农村商业银行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松阳农村信用合作社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岱山农村信用合作社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三门农村信用合作社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禾城农村商业银行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嵊州农村合作银行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台州椒江农村合作银行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龙游农村信用合作社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南浔农村商业银行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嘉善农村商业银行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温岭农村合作银行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舟山定海海洋农村商业银行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德清农村商业银行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浦江农村信用合作社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桐乡农村信用合作社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平湖农村合作银行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诸暨农村商业银行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开化农村信用合作社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伊金霍洛农村商业银行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海盐农村信用合作社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兰溪农村合作银行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永春县农村信用合作社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河北邢台农村商业银行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沧州银行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盐城黄海农村商业银行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仪征农村商业银行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象山农村信用合作社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云和县农村信用合作社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柳州银行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淮安农村商业银行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靖江农村商业银行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温州瓯海农村商业银行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启东农村商业银行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中山农村商业银行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扬州农村商业银行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新沂农村商业银行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六盘水商业银行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长子农村商业银行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石狮农村商业银行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高要农村商业银行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清远农村商业银行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紫金农村商业银行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稷山农村信用合作社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惠安农村信用合作社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四会农村商业银行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高密农村商业银行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昌邑农村商业银行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晋中商业银行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惠东农村商业银行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德化农村信用合作社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圣泰农村合作银行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漳州农村商业银行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河津农村商业银行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安溪农村信用合作社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寿光农村商业银行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上杭农村商业银行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贵阳银行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泰隆商业银行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衡水商业银行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乌海银行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湖州银行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信阳银行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昆山农村商业银行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鹤壁银行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山东农村信用合作社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四川农村信用合作社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惠城农村信用合作社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驻马店银行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三门峡银行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揭阳农村商业银行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泗阳农村商业银行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周口银行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南安农村商业银行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如皋农村商业银行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吴兴农村合作银行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广汉农村信用合作社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安县农村信用合作社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大竹农村信用合作社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富顺农村信用合作社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广元利州农村信用合作社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海宁农村信用合作社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襄阳农村商业银行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犍为农村信用合作社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江油农村信用合作社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缙云农村信用合作社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景德镇银行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阆中农村信用合作社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乐山三江农村商业银行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凉山州农村信用合作社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泸州江阳农村商业银行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眉山东坡农村信用合作社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绵阳银行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绵阳游仙农村信用合作社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宁波北仑区农村信用合作社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宁海农村信用合作社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平昌农村信用合作社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荣县农村信用合作社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三台农村信用合作社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济南润丰农村合作银行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青州农村商业银行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清徐农村商业银行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盂县农村商业银行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射洪农村信用合作社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什邡市农村信用合作社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长宁竹海农村商业银行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武胜农村商业银行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叙永农村商业银行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遂宁银行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遂州农村信用合作社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泰顺农村信用合作社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威远农村信用合作社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宜宾翠屏农村商业银行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永嘉农村商业银行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梓潼县农村信用合作社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大兴安岭农村商业银行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衢江农村信用合作社</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东平农村合作银行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114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33</w:t>
            </w:r>
          </w:p>
        </w:tc>
        <w:tc>
          <w:tcPr>
            <w:tcW w:w="218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绍兴瑞丰农村商业银行</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5.00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45.75 </w:t>
            </w:r>
          </w:p>
        </w:tc>
        <w:tc>
          <w:tcPr>
            <w:tcW w:w="1667" w:type="dxa"/>
            <w:tcBorders>
              <w:top w:val="nil"/>
              <w:left w:val="nil"/>
              <w:bottom w:val="single" w:color="auto" w:sz="8" w:space="0"/>
              <w:right w:val="single" w:color="auto" w:sz="8" w:space="0"/>
            </w:tcBorders>
            <w:vAlign w:val="center"/>
          </w:tcPr>
          <w:p>
            <w:pPr>
              <w:widowControl/>
              <w:jc w:val="center"/>
              <w:rPr>
                <w:rFonts w:cs="Calibri"/>
                <w:color w:val="000000"/>
                <w:kern w:val="0"/>
                <w:sz w:val="18"/>
                <w:szCs w:val="18"/>
              </w:rPr>
            </w:pPr>
            <w:r>
              <w:rPr>
                <w:rFonts w:cs="Calibri"/>
                <w:color w:val="000000"/>
                <w:kern w:val="0"/>
                <w:sz w:val="18"/>
                <w:szCs w:val="18"/>
              </w:rPr>
              <w:t xml:space="preserve">50.75 </w:t>
            </w:r>
          </w:p>
        </w:tc>
      </w:tr>
    </w:tbl>
    <w:p>
      <w:pPr>
        <w:spacing w:before="156" w:beforeLines="50" w:after="156" w:afterLines="50"/>
        <w:rPr>
          <w:rFonts w:cs="Times New Roman"/>
          <w:b/>
        </w:rPr>
      </w:pPr>
      <w:r>
        <w:rPr>
          <w:rFonts w:hint="eastAsia" w:cs="Times New Roman"/>
          <w:b/>
        </w:rPr>
        <w:t>资料来源：普益财富</w:t>
      </w:r>
    </w:p>
    <w:p>
      <w:pPr>
        <w:spacing w:before="156" w:beforeLines="50" w:after="156" w:afterLines="50"/>
        <w:rPr>
          <w:rFonts w:cs="Times New Roman"/>
          <w:highlight w:val="yellow"/>
        </w:rPr>
      </w:pPr>
    </w:p>
    <w:p>
      <w:pPr>
        <w:spacing w:before="156" w:beforeLines="50" w:after="156" w:afterLines="50"/>
        <w:outlineLvl w:val="0"/>
        <w:rPr>
          <w:b/>
          <w:sz w:val="28"/>
          <w:szCs w:val="28"/>
        </w:rPr>
      </w:pPr>
      <w:r>
        <w:rPr>
          <w:rFonts w:hint="eastAsia"/>
          <w:b/>
          <w:sz w:val="28"/>
          <w:szCs w:val="28"/>
        </w:rPr>
        <w:t>综合理财能力：兴业、招商、民生居全国性银行前三，南京、江苏、北京居区域性银行前三</w:t>
      </w:r>
    </w:p>
    <w:p>
      <w:pPr>
        <w:spacing w:before="156" w:beforeLines="50" w:after="156" w:afterLines="50"/>
        <w:ind w:firstLine="420" w:firstLineChars="200"/>
      </w:pPr>
      <w:r>
        <w:rPr>
          <w:rFonts w:hint="eastAsia"/>
        </w:rPr>
        <w:t>2015年2季度，全国性商业银行中，理财能力综合排名前五的银行依次是兴业银行、招商银行、民生银行、工商银行和光大银行。</w:t>
      </w:r>
    </w:p>
    <w:p>
      <w:pPr>
        <w:spacing w:before="156" w:beforeLines="50" w:after="156" w:afterLines="50"/>
        <w:ind w:firstLine="420" w:firstLineChars="200"/>
      </w:pPr>
      <w:r>
        <w:rPr>
          <w:rFonts w:hint="eastAsia"/>
        </w:rPr>
        <w:t>本年度分类指标测度中，兴业银行的收益能力、风险控制能力、理财产品丰富性、信息披露规范性这四个单项能力排名均位居全国性银行前五强，同时该行评估问卷得分也获得第一位的好名次，促使该行获得综合理财能力排行榜第一名。招商银行位居理财能力综合排名第二，主要得益于该行发行能力、收益能力、理财产品丰富性和信息披露规范性表现优异，这4个单项排名均在前列。民生银行在本季度综合理财能力排名中获得第三名，该行的风险控制能力以及信息披露规范性得分均在全国性银行的前五强之中。</w:t>
      </w:r>
    </w:p>
    <w:p>
      <w:pPr>
        <w:spacing w:before="156" w:beforeLines="50" w:after="156" w:afterLines="50"/>
        <w:ind w:firstLine="420" w:firstLineChars="200"/>
      </w:pPr>
      <w:r>
        <w:rPr>
          <w:rFonts w:hint="eastAsia"/>
        </w:rPr>
        <w:t>全国性银行综合排名前十强依然是股份制商业银行占据绝大多数，其中有9家为股份制商业银行，1家为国有银行。国有银行得益于网点数量庞大，通常理财产品发行规模与其它类型银行相比占据绝对优势，但是其在产品收益定价水平、产品的风险控制以及信息披露规范性等方面的表现普遍不及股份制商业银行甚至部分大型城商行，因此综合理财能力排名中股份制商业银行普遍表现较好，值得一提的是工商银行在本季度排名中，名次有较大幅度上升，这表明工商银行在以上几个方面表现较其他国有银行更为出色。</w:t>
      </w:r>
    </w:p>
    <w:p>
      <w:pPr>
        <w:spacing w:before="156" w:beforeLines="50" w:after="156" w:afterLines="50"/>
        <w:ind w:firstLine="420" w:firstLineChars="200"/>
      </w:pPr>
      <w:r>
        <w:rPr>
          <w:rFonts w:hint="eastAsia"/>
        </w:rPr>
        <w:t>2015年2季度，区域性商业银行中，理财能力综合排名前十的银行依次是南京银行、江苏银行、北京银行、青岛银行、东莞银行、珠海华润银行、哈尔滨银行、南海农商银行、海峡银行和富滇银行。</w:t>
      </w:r>
    </w:p>
    <w:p>
      <w:pPr>
        <w:spacing w:before="156" w:beforeLines="50" w:after="156" w:afterLines="50"/>
        <w:ind w:firstLine="420" w:firstLineChars="200"/>
      </w:pPr>
      <w:r>
        <w:rPr>
          <w:rFonts w:hint="eastAsia"/>
        </w:rPr>
        <w:t>南京银行在除理财产品丰富性外的四个单项排名上均能保持在区域性银行前三位置，使得该行能够位居区域性银行综合理财能力排名榜首。江苏银行位居综合排名第二，主要得益于该行在除收益能力和理财产品丰富性外，各个单项排名均能保持前五位置。北京银行位居综合排名第三，主要得益于该行发行能力、收益能力、风险控制能力和理财产品丰富性三个单项排名上都比较靠前，同时评估问卷得分位居前列。</w:t>
      </w:r>
    </w:p>
    <w:p>
      <w:pPr>
        <w:spacing w:before="156" w:beforeLines="50" w:after="156" w:afterLines="50"/>
        <w:ind w:firstLine="420" w:firstLineChars="200"/>
      </w:pPr>
      <w:r>
        <w:rPr>
          <w:rFonts w:hint="eastAsia"/>
        </w:rPr>
        <w:t>区域性商业银行理财能力综合排名靠后的银行中，农商行、农信社等农村金融机构的占比要高于城商行，可见整体上城商行的综合理财实力要强于农村金融机构。城商行通常在发行数量及发行规模上要高于农村金融机构，同时在资产配置方面能够获得更高收益的投资，此外对于产品的发行、运行、到期等各个阶段的信息披露也更为规范，因此城商行的发行能力、收益能力、信息披露规范性普遍强于农村金融机构。</w:t>
      </w:r>
    </w:p>
    <w:p>
      <w:pPr>
        <w:spacing w:before="156" w:beforeLines="50" w:after="156" w:afterLines="50"/>
        <w:rPr>
          <w:rFonts w:cs="Times New Roman"/>
          <w:b/>
        </w:rPr>
      </w:pPr>
      <w:r>
        <w:rPr>
          <w:rFonts w:hint="eastAsia" w:cs="Times New Roman"/>
          <w:b/>
        </w:rPr>
        <w:t>表7：银行理财能力综合排行榜（</w:t>
      </w:r>
      <w:r>
        <w:rPr>
          <w:rFonts w:hint="eastAsia"/>
          <w:b/>
        </w:rPr>
        <w:t>2015年2季度</w:t>
      </w:r>
      <w:r>
        <w:rPr>
          <w:rFonts w:hint="eastAsia" w:cs="Times New Roman"/>
          <w:b/>
        </w:rPr>
        <w:t>）</w:t>
      </w:r>
    </w:p>
    <w:p>
      <w:pPr>
        <w:spacing w:before="156" w:beforeLines="50" w:after="156" w:afterLines="50"/>
        <w:rPr>
          <w:rFonts w:cs="Times New Roman"/>
          <w:b/>
        </w:rPr>
      </w:pPr>
      <w:r>
        <w:rPr>
          <w:rFonts w:hint="eastAsia" w:cs="Times New Roman"/>
          <w:b/>
        </w:rPr>
        <w:t>全国性商业银行：</w:t>
      </w:r>
    </w:p>
    <w:tbl>
      <w:tblPr>
        <w:tblStyle w:val="14"/>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4"/>
        <w:gridCol w:w="1683"/>
        <w:gridCol w:w="855"/>
        <w:gridCol w:w="855"/>
        <w:gridCol w:w="855"/>
        <w:gridCol w:w="855"/>
        <w:gridCol w:w="855"/>
        <w:gridCol w:w="85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85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排名</w:t>
            </w:r>
          </w:p>
        </w:tc>
        <w:tc>
          <w:tcPr>
            <w:tcW w:w="168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银行名称</w:t>
            </w:r>
          </w:p>
        </w:tc>
        <w:tc>
          <w:tcPr>
            <w:tcW w:w="8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发行能力得分</w:t>
            </w:r>
          </w:p>
        </w:tc>
        <w:tc>
          <w:tcPr>
            <w:tcW w:w="8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收益能力得分</w:t>
            </w:r>
          </w:p>
        </w:tc>
        <w:tc>
          <w:tcPr>
            <w:tcW w:w="8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风险控制得分</w:t>
            </w:r>
          </w:p>
        </w:tc>
        <w:tc>
          <w:tcPr>
            <w:tcW w:w="8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理财产品丰富性得分</w:t>
            </w:r>
          </w:p>
        </w:tc>
        <w:tc>
          <w:tcPr>
            <w:tcW w:w="8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信息披露规范性得分</w:t>
            </w:r>
          </w:p>
        </w:tc>
        <w:tc>
          <w:tcPr>
            <w:tcW w:w="8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评估问卷得分</w:t>
            </w:r>
          </w:p>
        </w:tc>
        <w:tc>
          <w:tcPr>
            <w:tcW w:w="8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综合得分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兴业银行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18.79</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16.07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15.30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14.00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18.91</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98.58</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招商银行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19.48</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17.08</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15.06</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14.10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19.52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86.60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中国民生银行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18.84</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16.64</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16.50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10.80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18.65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86.83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中国工商银行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18.40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13.27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12.40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18.18</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89.34</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中国光大银行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16.97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16.17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11.62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14.90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17.64</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88.55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中信银行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17.09</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12.82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14.22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16.00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16.87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86.99</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华夏银行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18.43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15.08</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14.52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12.00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18.51</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82.13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广发银行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17.76</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15.95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12.31</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13.00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16.74</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85.93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交通银行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19.23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16.75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11.43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15.80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14.87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74.09</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平安银行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18.85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20.07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7.70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13.80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13.92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84.72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中国邮政储蓄银行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15.44</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12.45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15.12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11.30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17.46</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83.30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中国农业银行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18.82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13.34</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11.73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12.40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15.77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81.60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浙商银行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13.94</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13.33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13.73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10.70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18.97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77.53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18.15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14.31</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11.73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13.00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12.48</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50.75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683"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渤海银行</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12.86</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12.96</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14.88</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12.70</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15.55</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50.75</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上海浦东发展银行</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ascii="宋体" w:hAnsi="宋体" w:cs="宋体"/>
                <w:kern w:val="0"/>
                <w:sz w:val="18"/>
                <w:szCs w:val="18"/>
              </w:rPr>
              <w:t>18.03</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ascii="宋体" w:hAnsi="宋体" w:cs="宋体"/>
                <w:kern w:val="0"/>
                <w:sz w:val="18"/>
                <w:szCs w:val="18"/>
              </w:rPr>
              <w:t>11.21</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ascii="宋体" w:hAnsi="宋体" w:cs="宋体"/>
                <w:kern w:val="0"/>
                <w:sz w:val="18"/>
                <w:szCs w:val="18"/>
              </w:rPr>
              <w:t>2.47</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ascii="宋体" w:hAnsi="宋体" w:cs="宋体"/>
                <w:kern w:val="0"/>
                <w:sz w:val="18"/>
                <w:szCs w:val="18"/>
              </w:rPr>
              <w:t>9.90</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ascii="宋体" w:hAnsi="宋体" w:cs="宋体"/>
                <w:kern w:val="0"/>
                <w:sz w:val="18"/>
                <w:szCs w:val="18"/>
              </w:rPr>
              <w:t>7.90</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ascii="宋体" w:hAnsi="宋体" w:cs="宋体"/>
                <w:kern w:val="0"/>
                <w:sz w:val="18"/>
                <w:szCs w:val="18"/>
              </w:rPr>
              <w:t>93.41</w:t>
            </w:r>
          </w:p>
        </w:tc>
        <w:tc>
          <w:tcPr>
            <w:tcW w:w="855" w:type="dxa"/>
            <w:tcBorders>
              <w:top w:val="nil"/>
              <w:left w:val="nil"/>
              <w:bottom w:val="single" w:color="auto" w:sz="8" w:space="0"/>
              <w:right w:val="single" w:color="auto" w:sz="8" w:space="0"/>
            </w:tcBorders>
            <w:vAlign w:val="top"/>
          </w:tcPr>
          <w:p>
            <w:pPr>
              <w:widowControl/>
              <w:jc w:val="center"/>
              <w:rPr>
                <w:rFonts w:ascii="宋体" w:hAnsi="宋体" w:cs="宋体"/>
                <w:kern w:val="0"/>
                <w:sz w:val="18"/>
                <w:szCs w:val="18"/>
              </w:rPr>
            </w:pPr>
            <w:r>
              <w:rPr>
                <w:rFonts w:ascii="宋体" w:hAnsi="宋体" w:cs="宋体"/>
                <w:kern w:val="0"/>
                <w:sz w:val="18"/>
                <w:szCs w:val="18"/>
              </w:rPr>
              <w:t>60.49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中国建设银行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17.57</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12.46</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6.09</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11.80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12.52</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50.75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5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恒丰银行</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11.39</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12.13</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8.36</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7.10</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7.65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50.75</w:t>
            </w:r>
          </w:p>
        </w:tc>
        <w:tc>
          <w:tcPr>
            <w:tcW w:w="85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47.67</w:t>
            </w:r>
          </w:p>
        </w:tc>
      </w:tr>
    </w:tbl>
    <w:p>
      <w:pPr>
        <w:spacing w:before="156" w:beforeLines="50" w:after="156" w:afterLines="50"/>
        <w:rPr>
          <w:rFonts w:cs="Times New Roman"/>
        </w:rPr>
      </w:pPr>
    </w:p>
    <w:p>
      <w:pPr>
        <w:spacing w:before="156" w:beforeLines="50" w:after="156" w:afterLines="50"/>
        <w:rPr>
          <w:rFonts w:cs="Times New Roman"/>
          <w:b/>
        </w:rPr>
      </w:pPr>
      <w:r>
        <w:rPr>
          <w:rFonts w:hint="eastAsia" w:cs="Times New Roman"/>
          <w:b/>
        </w:rPr>
        <w:t>区域性商业银行：</w:t>
      </w:r>
    </w:p>
    <w:tbl>
      <w:tblPr>
        <w:tblStyle w:val="14"/>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1701"/>
        <w:gridCol w:w="815"/>
        <w:gridCol w:w="886"/>
        <w:gridCol w:w="851"/>
        <w:gridCol w:w="850"/>
        <w:gridCol w:w="851"/>
        <w:gridCol w:w="850"/>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排名</w:t>
            </w:r>
          </w:p>
        </w:tc>
        <w:tc>
          <w:tcPr>
            <w:tcW w:w="170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银行名称</w:t>
            </w:r>
          </w:p>
        </w:tc>
        <w:tc>
          <w:tcPr>
            <w:tcW w:w="81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发行能力得分</w:t>
            </w:r>
          </w:p>
        </w:tc>
        <w:tc>
          <w:tcPr>
            <w:tcW w:w="88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收益能力得分</w:t>
            </w:r>
          </w:p>
        </w:tc>
        <w:tc>
          <w:tcPr>
            <w:tcW w:w="85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风险控制得分</w:t>
            </w:r>
          </w:p>
        </w:tc>
        <w:tc>
          <w:tcPr>
            <w:tcW w:w="85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理财产品丰富性得分</w:t>
            </w:r>
          </w:p>
        </w:tc>
        <w:tc>
          <w:tcPr>
            <w:tcW w:w="85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信息披露规范性得分</w:t>
            </w:r>
          </w:p>
        </w:tc>
        <w:tc>
          <w:tcPr>
            <w:tcW w:w="85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评估问卷得分</w:t>
            </w:r>
          </w:p>
        </w:tc>
        <w:tc>
          <w:tcPr>
            <w:tcW w:w="85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综合得分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15.79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14.78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14.95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14.86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15.34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19.13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13.14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17.13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14.13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13.45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14.76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19.80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14.72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14.47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16.11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珠海华润银行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14.56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18.81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哈尔滨银行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16.75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81.97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13.42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18.74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76.61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福建海峡银行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14.10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15.85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71.54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富滇银行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14.57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71.17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14.61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82.59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包商银行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德阳银行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13.86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16.70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75.57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17.27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齐鲁银行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13.82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15.57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66.86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15.21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15.68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晋商银行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14.71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14.49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19.70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龙江银行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13.36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15.30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72.93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徽商银行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15.29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73.55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长安银行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13.74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锦州银行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19.53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13.92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15.43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浙江稠州商业银行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14.34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17.45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14.65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73.38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17.57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13.78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17.58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昆仑银行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9.93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77.93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苏州银行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19.50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广东顺德农村商业银行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13.37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15.63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14.55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13.74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长沙银行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70.63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日照银行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17.82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莱商银行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18.17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郑州银行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74.43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广西北部湾银行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9.68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13.36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70.38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汉口银行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14.92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泰安市商业银行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广东南粤银行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14.69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9.67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17.19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鄞州银行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15.83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13.18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15.97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青岛农村商业银行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10.42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14.45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华融湘江银行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14.80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14.49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14.62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晋城银行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13.98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南充市商业银行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14.57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临商银行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10.43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14.23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石嘴山银行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9.30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9.85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70.27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黄河农村商业银行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9.60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16.54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重庆三峡银行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6.91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67.93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太仓农村商业银行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重庆农村商业银行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杭州联合农村商业银行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13.82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上饶银行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沧州银行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瑞丰银行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成都银行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抚顺市商业银行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江苏吴江农村商业银行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10.45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8.93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浙江民泰商业银行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西安银行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江苏邳州农村商业银行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嘉兴银行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9.60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9.82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厦门农村商业银行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东营商业银行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齐商银行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9.90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宁夏银行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65.78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盛京银行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路桥农合行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德清农村商业银行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10.44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九江银行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9.99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5.10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9.97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中山农村商业银行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9.27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秦皇岛市商业银行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江南农村商业银行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43.39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湖北银行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9.33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柳州银行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平顶山商业银行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广东华兴银行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59.92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内蒙古银行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甘肃银行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张家港农村商业银行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江门融和农村商业银行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6.48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9.80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eastAsia="zh-CN"/>
              </w:rPr>
              <w:t>深圳</w:t>
            </w:r>
            <w:r>
              <w:rPr>
                <w:rFonts w:hint="eastAsia" w:ascii="宋体" w:hAnsi="宋体" w:cs="宋体"/>
                <w:color w:val="000000"/>
                <w:kern w:val="0"/>
                <w:sz w:val="18"/>
                <w:szCs w:val="18"/>
              </w:rPr>
              <w:t>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9.67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洛阳银行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泉州农村商业银行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69.10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丹东市商业银行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佛山农村商业银行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青海银行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13.33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乐清农村商业银行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吉林银行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长治潞州农村商业银行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德州商业银行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余杭农村合作银行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淮海银行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乌鲁木齐商业银行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江阴农村商业银行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常熟农村商业银行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鹿城农村商业银行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9.89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长春农村商业银行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扬州农村商业银行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无锡农村商业银行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龙湾农村商业银行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13.55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新会农村商业银行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4.32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桂林银行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1.79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张家口商业银行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玉溪商业银行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9.26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九台农村商业银行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泗洪农村商业银行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武汉农村商业银行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端州农村商业银行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辽阳银行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11.86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0.26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13.69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贵州农村商业银行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8.74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绵阳商业银行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4.31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鄂尔多斯商业银行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8.36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4.41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海口农村商业银行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8.56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义务农村商业银行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焦作商业银行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阜新银行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连云港东方农村商业银行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8.28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尧都农村商业银行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苍南农村商业银行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12.89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运城农村商业银行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大丰农村商业银行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中原银行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6.91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乐山市商业银行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8.86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3.80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朝阳市商业银行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慈溪农村合作银行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铜山农村信用合作社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7.88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晋江农村商业银行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9.02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13.15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桐庐农村合作社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唐山市商业银行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宁波通商银行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海安农村商业银行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4.17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营口沿海银行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葫芦岛商行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江都农村商业银行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呼和浩特金谷农村商业银行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7.38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遂宁商业银行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山西潞城农村商业银行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8.43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文成农村信用合作社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瑞安农村商业银行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官渡农村合作银行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15.37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萧山农村商业银行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余姚农村合作银行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云南红塔农村合作银行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15.36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如东农村商业银行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宜宾市商业银行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平遥农村商业银行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8.13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滨海农村商业银行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乡宁农村商业银行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7.49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射阳农村商业银行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金华成泰农村商业银行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玉环农村合作银行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连江县农村信用合作社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富阳农村商业银行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6.87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3.50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赣州农村商业银行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磐安农村信用合作社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13.19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威海农村商业银行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兴化农村商业银行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榆次农村商业银行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12.25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温岭农村合作银行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绍兴恒信合作银行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洞头农村信用合作社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13.07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临安农村信用合作社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长治商业银行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3.60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马鞍山农村商业银行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长兴农村合作银行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侯马农村商业银行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江苏宜兴农村商业银行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伊金霍洛农村商业银行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嘉善农村商业银行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长乐农村信用合作社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12.96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松阳农村信用合作社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海宁农村商业银行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武义农村合作银行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平阳农村信用合作社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合肥科技农村商业银行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7.60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民丰农村商业银行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海盐农村信用合作社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建德农村信用合作社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天山农村商业银行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嵊泗农村信用合作社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邢台商业银行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淳安农村信用合作社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仪陇农村商业银行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东阳农村商业银行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曲靖商业银行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寿阳农村商业银行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鞍山商业银行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延边农村商业银行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12.71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新昌农村商业银行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台州椒江农村合作银行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舟山定海海洋农村商业银行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潍坊农村商业银行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兰溪农村合作银行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10.21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铁岭商业银行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龙游农村信用合作社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朔州平鲁农村信用合作社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青田农村商业银行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禹城农村商业银行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6.37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盐城黄海农村商业银行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9.84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台州黄岩农村合作银行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11.03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启东农村商业银行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9.48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珠海农村商业银行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9.04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温州瓯海农村商业银行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仪征农村商业银行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朔州市朔城区农村信用合作社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姜堰农村商业银行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11.06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靖江农村商业银行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9.56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南浔农村商业银行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永康农村商业银行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龙泉农村信用合作社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平湖农村合作银行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诸暨农村商业银行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禾城农村商业银行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10.66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阳泉市郊区农村信用合作社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三峡农村商业银行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衢州柯城农村商业银行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睢宁农村商业银行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12.65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榆中农村合作银行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29.14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岱山农村信用合作社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三门农村信用合作社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10.67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嵊州农村合作银行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开化农村信用合作社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4.80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浦江农村信用合作社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桐乡农村信用合作社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10.39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灵石农村商业银行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10.81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河北邢台农村商业银行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淮安农村商业银行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4.06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9.71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永春县农村信用合作社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10.14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安吉农村商业银行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10.69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景宁畲族农村信用合作社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11.28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泽州农村信用合作社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10.72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27.29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象山农村信用合作社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9.79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新沂农村商业银行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六盘水商业银行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11.50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6.28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云和县农村信用合作社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3.20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9.74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1.05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25.65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长子农村商业银行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7.97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石狮农村商业银行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8.68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24.77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高要农村商业银行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7.70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1.32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清远农村商业银行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8.05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1.21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23.61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紫金农村商业银行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5.94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3.41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稷山农村信用合作社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惠安农村信用合作社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267</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四会农村商业银行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7.01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5.20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1.17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高密农村商业银行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6.55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昌邑农村商业银行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6.71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1.16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晋中商业银行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271</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惠东农村商业银行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6.17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4.90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1.14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德化农村信用合作社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圣泰农村合作银行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漳州农村商业银行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河津农村商业银行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5.69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1.13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安溪农村信用合作社</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4.63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5.30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1.09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寿光农村商业银行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上杭农村商业银行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5.40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4.50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1.12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莱州农村商业银行</w:t>
            </w:r>
          </w:p>
        </w:tc>
        <w:tc>
          <w:tcPr>
            <w:tcW w:w="8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5.05 </w:t>
            </w:r>
          </w:p>
        </w:tc>
        <w:tc>
          <w:tcPr>
            <w:tcW w:w="88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0.00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3.70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1.11 </w:t>
            </w:r>
          </w:p>
        </w:tc>
        <w:tc>
          <w:tcPr>
            <w:tcW w:w="8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50.75 </w:t>
            </w:r>
          </w:p>
        </w:tc>
        <w:tc>
          <w:tcPr>
            <w:tcW w:w="85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20.08 </w:t>
            </w:r>
          </w:p>
        </w:tc>
      </w:tr>
    </w:tbl>
    <w:p>
      <w:pPr>
        <w:spacing w:before="156" w:beforeLines="50" w:after="156" w:afterLines="50"/>
      </w:pPr>
      <w:r>
        <w:rPr>
          <w:rFonts w:hint="eastAsia" w:cs="Times New Roman"/>
          <w:b/>
        </w:rPr>
        <w:t>资料来源：普益财富</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SimSun-Identity-H">
    <w:altName w:val="宋体"/>
    <w:panose1 w:val="00000000000000000000"/>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黑体"/>
        <w:kern w:val="2"/>
        <w:sz w:val="18"/>
        <w:szCs w:val="18"/>
        <w:lang w:val="en-US" w:eastAsia="zh-CN" w:bidi="ar-SA"/>
      </w:rPr>
      <w:pict>
        <v:shape id="文本框 7" o:spid="_x0000_s1027"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黑体"/>
        <w:kern w:val="2"/>
        <w:sz w:val="18"/>
        <w:szCs w:val="18"/>
        <w:lang w:val="en-US" w:eastAsia="zh-CN" w:bidi="ar-SA"/>
      </w:rPr>
      <w:pict>
        <v:shape id="文本框 8" o:spid="_x0000_s1028"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wordWrap w:val="0"/>
      <w:spacing w:after="240" w:afterLines="100"/>
      <w:jc w:val="right"/>
    </w:pPr>
    <w:r>
      <w:rPr>
        <w:rFonts w:ascii="Calibri" w:hAnsi="Calibri" w:eastAsia="宋体" w:cs="黑体"/>
        <w:kern w:val="2"/>
        <w:sz w:val="18"/>
        <w:szCs w:val="18"/>
        <w:lang w:val="en-US" w:eastAsia="zh-CN" w:bidi="ar-SA"/>
      </w:rPr>
      <w:pict>
        <v:shape id="图片 6" o:spid="_x0000_s1025" type="#_x0000_t75" style="position:absolute;left:0;margin-left:358.5pt;margin-top:-19.75pt;height:34.15pt;width:101.25pt;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r>
      <w:rPr>
        <w:rFonts w:ascii="Calibri" w:hAnsi="Calibri" w:eastAsia="宋体" w:cs="黑体"/>
        <w:kern w:val="2"/>
        <w:sz w:val="18"/>
        <w:szCs w:val="18"/>
        <w:lang w:val="en-US" w:eastAsia="zh-CN" w:bidi="ar-SA"/>
      </w:rPr>
      <w:pict>
        <v:shape id="图片 5" o:spid="_x0000_s1026" type="#_x0000_t75" style="position:absolute;left:0;margin-left:264.75pt;margin-top:-12.55pt;height:20.6pt;width:88.8pt;rotation:0f;z-index:251659264;" o:ole="f" fillcolor="#FFFFFF" filled="f" o:preferrelative="t" stroked="f" coordorigin="0,0" coordsize="21600,21600">
          <v:fill on="f" color2="#FFFFFF" focus="0%"/>
          <v:imagedata gain="65536f" blacklevel="0f" gamma="0" o:title="" r:id="rId2"/>
          <o:lock v:ext="edit" position="f" selection="f" grouping="f" rotation="f" cropping="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99715697">
    <w:nsid w:val="6B457B71"/>
    <w:multiLevelType w:val="multilevel"/>
    <w:tmpl w:val="6B457B71"/>
    <w:lvl w:ilvl="0" w:tentative="1">
      <w:start w:val="1"/>
      <w:numFmt w:val="bullet"/>
      <w:lvlText w:val=""/>
      <w:lvlJc w:val="left"/>
      <w:pPr>
        <w:tabs>
          <w:tab w:val="left" w:pos="0"/>
        </w:tabs>
        <w:ind w:left="284" w:hanging="284"/>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799715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6494"/>
    <w:rsid w:val="00000193"/>
    <w:rsid w:val="0000033C"/>
    <w:rsid w:val="00000865"/>
    <w:rsid w:val="00002E39"/>
    <w:rsid w:val="00003AFA"/>
    <w:rsid w:val="00006BE5"/>
    <w:rsid w:val="000111D9"/>
    <w:rsid w:val="0001224A"/>
    <w:rsid w:val="00013BE4"/>
    <w:rsid w:val="00014932"/>
    <w:rsid w:val="00016EE0"/>
    <w:rsid w:val="000201FD"/>
    <w:rsid w:val="0002050F"/>
    <w:rsid w:val="00022B12"/>
    <w:rsid w:val="00022DE9"/>
    <w:rsid w:val="000230C1"/>
    <w:rsid w:val="0002387B"/>
    <w:rsid w:val="00024026"/>
    <w:rsid w:val="000250F0"/>
    <w:rsid w:val="00026008"/>
    <w:rsid w:val="0003068D"/>
    <w:rsid w:val="00031B22"/>
    <w:rsid w:val="00031CC8"/>
    <w:rsid w:val="00031E46"/>
    <w:rsid w:val="00031F42"/>
    <w:rsid w:val="0003262D"/>
    <w:rsid w:val="000328F3"/>
    <w:rsid w:val="000346C4"/>
    <w:rsid w:val="00036120"/>
    <w:rsid w:val="000361D0"/>
    <w:rsid w:val="00036486"/>
    <w:rsid w:val="000411D8"/>
    <w:rsid w:val="00042BB6"/>
    <w:rsid w:val="00043DD5"/>
    <w:rsid w:val="00043EB0"/>
    <w:rsid w:val="00046C77"/>
    <w:rsid w:val="00046E8E"/>
    <w:rsid w:val="0005208F"/>
    <w:rsid w:val="00054F8C"/>
    <w:rsid w:val="000565F9"/>
    <w:rsid w:val="0005675B"/>
    <w:rsid w:val="00056F7E"/>
    <w:rsid w:val="0005775B"/>
    <w:rsid w:val="000618B2"/>
    <w:rsid w:val="00061B3A"/>
    <w:rsid w:val="00062773"/>
    <w:rsid w:val="00063E0F"/>
    <w:rsid w:val="00064B0C"/>
    <w:rsid w:val="00064CF7"/>
    <w:rsid w:val="000658EC"/>
    <w:rsid w:val="00070179"/>
    <w:rsid w:val="00074638"/>
    <w:rsid w:val="00074F65"/>
    <w:rsid w:val="000756D3"/>
    <w:rsid w:val="00076553"/>
    <w:rsid w:val="000807F1"/>
    <w:rsid w:val="00081416"/>
    <w:rsid w:val="00081D30"/>
    <w:rsid w:val="000827BC"/>
    <w:rsid w:val="00082D8D"/>
    <w:rsid w:val="00083720"/>
    <w:rsid w:val="00084AA1"/>
    <w:rsid w:val="00085BD9"/>
    <w:rsid w:val="00087B89"/>
    <w:rsid w:val="00091516"/>
    <w:rsid w:val="00091928"/>
    <w:rsid w:val="00091E30"/>
    <w:rsid w:val="00092B07"/>
    <w:rsid w:val="000A0FB1"/>
    <w:rsid w:val="000A171C"/>
    <w:rsid w:val="000A1C9C"/>
    <w:rsid w:val="000A2589"/>
    <w:rsid w:val="000A2E59"/>
    <w:rsid w:val="000A6238"/>
    <w:rsid w:val="000A6D95"/>
    <w:rsid w:val="000A6E6F"/>
    <w:rsid w:val="000B07B4"/>
    <w:rsid w:val="000B0E45"/>
    <w:rsid w:val="000B20CB"/>
    <w:rsid w:val="000B29E5"/>
    <w:rsid w:val="000B727F"/>
    <w:rsid w:val="000C0EC1"/>
    <w:rsid w:val="000C1941"/>
    <w:rsid w:val="000C2275"/>
    <w:rsid w:val="000C3722"/>
    <w:rsid w:val="000C404D"/>
    <w:rsid w:val="000C42C9"/>
    <w:rsid w:val="000C4303"/>
    <w:rsid w:val="000C4898"/>
    <w:rsid w:val="000C658F"/>
    <w:rsid w:val="000C6894"/>
    <w:rsid w:val="000C6A4A"/>
    <w:rsid w:val="000D0FE9"/>
    <w:rsid w:val="000D1B93"/>
    <w:rsid w:val="000D1C5A"/>
    <w:rsid w:val="000D2D67"/>
    <w:rsid w:val="000D3181"/>
    <w:rsid w:val="000D58AB"/>
    <w:rsid w:val="000D70D6"/>
    <w:rsid w:val="000D71EE"/>
    <w:rsid w:val="000D7ADF"/>
    <w:rsid w:val="000E0597"/>
    <w:rsid w:val="000E07F7"/>
    <w:rsid w:val="000E1543"/>
    <w:rsid w:val="000E1F78"/>
    <w:rsid w:val="000E3337"/>
    <w:rsid w:val="000E3A69"/>
    <w:rsid w:val="000E59F5"/>
    <w:rsid w:val="000E6DD8"/>
    <w:rsid w:val="000E72EB"/>
    <w:rsid w:val="000E7A4C"/>
    <w:rsid w:val="000F10EF"/>
    <w:rsid w:val="000F1526"/>
    <w:rsid w:val="000F1871"/>
    <w:rsid w:val="000F2BD0"/>
    <w:rsid w:val="000F458E"/>
    <w:rsid w:val="000F7215"/>
    <w:rsid w:val="00103E0C"/>
    <w:rsid w:val="00104524"/>
    <w:rsid w:val="00105365"/>
    <w:rsid w:val="00106C77"/>
    <w:rsid w:val="0010742C"/>
    <w:rsid w:val="00107A5A"/>
    <w:rsid w:val="00111516"/>
    <w:rsid w:val="001134F7"/>
    <w:rsid w:val="001137A9"/>
    <w:rsid w:val="00115495"/>
    <w:rsid w:val="00115926"/>
    <w:rsid w:val="001161AA"/>
    <w:rsid w:val="00116373"/>
    <w:rsid w:val="0011681F"/>
    <w:rsid w:val="00121CD2"/>
    <w:rsid w:val="0012254E"/>
    <w:rsid w:val="00124DB9"/>
    <w:rsid w:val="00126A01"/>
    <w:rsid w:val="00126F07"/>
    <w:rsid w:val="00135818"/>
    <w:rsid w:val="00135ECB"/>
    <w:rsid w:val="00137CD8"/>
    <w:rsid w:val="00140028"/>
    <w:rsid w:val="00141AB0"/>
    <w:rsid w:val="00142DD5"/>
    <w:rsid w:val="00143133"/>
    <w:rsid w:val="00143257"/>
    <w:rsid w:val="0014468D"/>
    <w:rsid w:val="00145996"/>
    <w:rsid w:val="00151693"/>
    <w:rsid w:val="00153170"/>
    <w:rsid w:val="00153B75"/>
    <w:rsid w:val="001572BD"/>
    <w:rsid w:val="0015734F"/>
    <w:rsid w:val="0015788E"/>
    <w:rsid w:val="00162433"/>
    <w:rsid w:val="00162442"/>
    <w:rsid w:val="001630B0"/>
    <w:rsid w:val="001630B4"/>
    <w:rsid w:val="00163DDE"/>
    <w:rsid w:val="001647CA"/>
    <w:rsid w:val="0016497F"/>
    <w:rsid w:val="001658B4"/>
    <w:rsid w:val="00165DD2"/>
    <w:rsid w:val="00171EBD"/>
    <w:rsid w:val="00172AF3"/>
    <w:rsid w:val="0017370C"/>
    <w:rsid w:val="00173F47"/>
    <w:rsid w:val="00176431"/>
    <w:rsid w:val="0017657D"/>
    <w:rsid w:val="00177B32"/>
    <w:rsid w:val="00180108"/>
    <w:rsid w:val="001812AB"/>
    <w:rsid w:val="00181C9D"/>
    <w:rsid w:val="001822CE"/>
    <w:rsid w:val="0018265C"/>
    <w:rsid w:val="001826D2"/>
    <w:rsid w:val="00184EB9"/>
    <w:rsid w:val="00185047"/>
    <w:rsid w:val="0018718F"/>
    <w:rsid w:val="00190F7E"/>
    <w:rsid w:val="00191920"/>
    <w:rsid w:val="00192FBE"/>
    <w:rsid w:val="001937C8"/>
    <w:rsid w:val="00193C33"/>
    <w:rsid w:val="001964AF"/>
    <w:rsid w:val="00196A94"/>
    <w:rsid w:val="0019763A"/>
    <w:rsid w:val="00197818"/>
    <w:rsid w:val="00197B54"/>
    <w:rsid w:val="001A18DE"/>
    <w:rsid w:val="001A3869"/>
    <w:rsid w:val="001A5933"/>
    <w:rsid w:val="001A5EFE"/>
    <w:rsid w:val="001A62EF"/>
    <w:rsid w:val="001B2B21"/>
    <w:rsid w:val="001B35CC"/>
    <w:rsid w:val="001B3AF5"/>
    <w:rsid w:val="001B4A03"/>
    <w:rsid w:val="001C03AE"/>
    <w:rsid w:val="001C283B"/>
    <w:rsid w:val="001C30D7"/>
    <w:rsid w:val="001C5623"/>
    <w:rsid w:val="001C640D"/>
    <w:rsid w:val="001C64BF"/>
    <w:rsid w:val="001D0062"/>
    <w:rsid w:val="001D5458"/>
    <w:rsid w:val="001D5470"/>
    <w:rsid w:val="001D7FE9"/>
    <w:rsid w:val="001E1482"/>
    <w:rsid w:val="001E1E20"/>
    <w:rsid w:val="001E244B"/>
    <w:rsid w:val="001E27F6"/>
    <w:rsid w:val="001E34D9"/>
    <w:rsid w:val="001E4231"/>
    <w:rsid w:val="001E4538"/>
    <w:rsid w:val="001E56D3"/>
    <w:rsid w:val="001E7AA1"/>
    <w:rsid w:val="001E7BEE"/>
    <w:rsid w:val="001F197C"/>
    <w:rsid w:val="001F26FF"/>
    <w:rsid w:val="001F395C"/>
    <w:rsid w:val="001F3AC1"/>
    <w:rsid w:val="001F57A3"/>
    <w:rsid w:val="001F587A"/>
    <w:rsid w:val="001F6310"/>
    <w:rsid w:val="00201594"/>
    <w:rsid w:val="00203053"/>
    <w:rsid w:val="00203341"/>
    <w:rsid w:val="00203E07"/>
    <w:rsid w:val="00205207"/>
    <w:rsid w:val="00206A60"/>
    <w:rsid w:val="0020729D"/>
    <w:rsid w:val="002100EB"/>
    <w:rsid w:val="00211808"/>
    <w:rsid w:val="00213537"/>
    <w:rsid w:val="00214829"/>
    <w:rsid w:val="00216627"/>
    <w:rsid w:val="002179E1"/>
    <w:rsid w:val="002200AB"/>
    <w:rsid w:val="00223AC0"/>
    <w:rsid w:val="00223DFA"/>
    <w:rsid w:val="00223F06"/>
    <w:rsid w:val="00224491"/>
    <w:rsid w:val="00224E3F"/>
    <w:rsid w:val="00225870"/>
    <w:rsid w:val="002267E7"/>
    <w:rsid w:val="00227275"/>
    <w:rsid w:val="002319AA"/>
    <w:rsid w:val="002333E6"/>
    <w:rsid w:val="00234F31"/>
    <w:rsid w:val="002352D4"/>
    <w:rsid w:val="00235E9A"/>
    <w:rsid w:val="002366AF"/>
    <w:rsid w:val="00236A39"/>
    <w:rsid w:val="00240E19"/>
    <w:rsid w:val="00241152"/>
    <w:rsid w:val="0024144C"/>
    <w:rsid w:val="00241CDA"/>
    <w:rsid w:val="0024229D"/>
    <w:rsid w:val="0024403C"/>
    <w:rsid w:val="00245904"/>
    <w:rsid w:val="0024711B"/>
    <w:rsid w:val="00247C99"/>
    <w:rsid w:val="00251A6C"/>
    <w:rsid w:val="00251E98"/>
    <w:rsid w:val="0025457B"/>
    <w:rsid w:val="00254E2F"/>
    <w:rsid w:val="00255BED"/>
    <w:rsid w:val="002560EF"/>
    <w:rsid w:val="00256FD8"/>
    <w:rsid w:val="0026026F"/>
    <w:rsid w:val="0026143B"/>
    <w:rsid w:val="0026145A"/>
    <w:rsid w:val="00261E21"/>
    <w:rsid w:val="00262341"/>
    <w:rsid w:val="0026280F"/>
    <w:rsid w:val="00262AB9"/>
    <w:rsid w:val="00263A66"/>
    <w:rsid w:val="0026563D"/>
    <w:rsid w:val="00265811"/>
    <w:rsid w:val="0026650D"/>
    <w:rsid w:val="00266836"/>
    <w:rsid w:val="00266AAB"/>
    <w:rsid w:val="00267690"/>
    <w:rsid w:val="00267BF2"/>
    <w:rsid w:val="00271154"/>
    <w:rsid w:val="002721AA"/>
    <w:rsid w:val="0027335A"/>
    <w:rsid w:val="0027466E"/>
    <w:rsid w:val="002749D5"/>
    <w:rsid w:val="00274C23"/>
    <w:rsid w:val="00274E66"/>
    <w:rsid w:val="00277308"/>
    <w:rsid w:val="002801C8"/>
    <w:rsid w:val="00281038"/>
    <w:rsid w:val="0028142C"/>
    <w:rsid w:val="00281AA0"/>
    <w:rsid w:val="00281AC5"/>
    <w:rsid w:val="002843A4"/>
    <w:rsid w:val="00284804"/>
    <w:rsid w:val="00284C13"/>
    <w:rsid w:val="00286BA4"/>
    <w:rsid w:val="00290BC9"/>
    <w:rsid w:val="00292273"/>
    <w:rsid w:val="00292A42"/>
    <w:rsid w:val="00292B28"/>
    <w:rsid w:val="00293F3B"/>
    <w:rsid w:val="002947C4"/>
    <w:rsid w:val="00294DE5"/>
    <w:rsid w:val="002951E3"/>
    <w:rsid w:val="00295B30"/>
    <w:rsid w:val="00295CAB"/>
    <w:rsid w:val="00295FCA"/>
    <w:rsid w:val="002A2357"/>
    <w:rsid w:val="002A23CF"/>
    <w:rsid w:val="002A4462"/>
    <w:rsid w:val="002A545A"/>
    <w:rsid w:val="002A7797"/>
    <w:rsid w:val="002A7809"/>
    <w:rsid w:val="002A7FE8"/>
    <w:rsid w:val="002B150E"/>
    <w:rsid w:val="002B1F4D"/>
    <w:rsid w:val="002B3EAA"/>
    <w:rsid w:val="002B7405"/>
    <w:rsid w:val="002B78E0"/>
    <w:rsid w:val="002C3B07"/>
    <w:rsid w:val="002C52E2"/>
    <w:rsid w:val="002C5C61"/>
    <w:rsid w:val="002C6AFB"/>
    <w:rsid w:val="002D1B6C"/>
    <w:rsid w:val="002D20FC"/>
    <w:rsid w:val="002D5582"/>
    <w:rsid w:val="002E0A50"/>
    <w:rsid w:val="002E0EEA"/>
    <w:rsid w:val="002E101A"/>
    <w:rsid w:val="002E11C5"/>
    <w:rsid w:val="002E228B"/>
    <w:rsid w:val="002E4EC8"/>
    <w:rsid w:val="002E5107"/>
    <w:rsid w:val="002E5344"/>
    <w:rsid w:val="002E5D1A"/>
    <w:rsid w:val="002E60BF"/>
    <w:rsid w:val="002E7267"/>
    <w:rsid w:val="002E7579"/>
    <w:rsid w:val="002F0079"/>
    <w:rsid w:val="002F2113"/>
    <w:rsid w:val="002F421B"/>
    <w:rsid w:val="002F6AA2"/>
    <w:rsid w:val="00302B9D"/>
    <w:rsid w:val="00303428"/>
    <w:rsid w:val="00303449"/>
    <w:rsid w:val="00303866"/>
    <w:rsid w:val="00303FE7"/>
    <w:rsid w:val="00305318"/>
    <w:rsid w:val="003102F7"/>
    <w:rsid w:val="0031575C"/>
    <w:rsid w:val="003165BF"/>
    <w:rsid w:val="0031757E"/>
    <w:rsid w:val="00317E7F"/>
    <w:rsid w:val="00317F9D"/>
    <w:rsid w:val="00320018"/>
    <w:rsid w:val="00320419"/>
    <w:rsid w:val="00320C20"/>
    <w:rsid w:val="00321648"/>
    <w:rsid w:val="00321980"/>
    <w:rsid w:val="00325A2E"/>
    <w:rsid w:val="00326155"/>
    <w:rsid w:val="003265F2"/>
    <w:rsid w:val="003268BB"/>
    <w:rsid w:val="00331C2C"/>
    <w:rsid w:val="0033417F"/>
    <w:rsid w:val="003349BE"/>
    <w:rsid w:val="003356F1"/>
    <w:rsid w:val="00335C35"/>
    <w:rsid w:val="003376D6"/>
    <w:rsid w:val="00341C24"/>
    <w:rsid w:val="00342A7E"/>
    <w:rsid w:val="00345020"/>
    <w:rsid w:val="00346A03"/>
    <w:rsid w:val="0034749E"/>
    <w:rsid w:val="00350127"/>
    <w:rsid w:val="00350F56"/>
    <w:rsid w:val="00351BA7"/>
    <w:rsid w:val="00352953"/>
    <w:rsid w:val="00352ED7"/>
    <w:rsid w:val="00354802"/>
    <w:rsid w:val="003548D0"/>
    <w:rsid w:val="003561E1"/>
    <w:rsid w:val="003633EB"/>
    <w:rsid w:val="00364697"/>
    <w:rsid w:val="00364950"/>
    <w:rsid w:val="003659F2"/>
    <w:rsid w:val="00366709"/>
    <w:rsid w:val="00367F5F"/>
    <w:rsid w:val="00371001"/>
    <w:rsid w:val="00372AE3"/>
    <w:rsid w:val="00372E58"/>
    <w:rsid w:val="003743F2"/>
    <w:rsid w:val="00374BD5"/>
    <w:rsid w:val="00375465"/>
    <w:rsid w:val="00375688"/>
    <w:rsid w:val="00375A01"/>
    <w:rsid w:val="00376C13"/>
    <w:rsid w:val="00376E3D"/>
    <w:rsid w:val="00377E49"/>
    <w:rsid w:val="0038101C"/>
    <w:rsid w:val="00384A1D"/>
    <w:rsid w:val="00385177"/>
    <w:rsid w:val="00385BAB"/>
    <w:rsid w:val="00386D8C"/>
    <w:rsid w:val="00386F28"/>
    <w:rsid w:val="00387A19"/>
    <w:rsid w:val="0039105C"/>
    <w:rsid w:val="003910D4"/>
    <w:rsid w:val="003927B5"/>
    <w:rsid w:val="00393A29"/>
    <w:rsid w:val="00397998"/>
    <w:rsid w:val="003A07BC"/>
    <w:rsid w:val="003A17BC"/>
    <w:rsid w:val="003A1C0F"/>
    <w:rsid w:val="003A2002"/>
    <w:rsid w:val="003A2CF1"/>
    <w:rsid w:val="003A4FE9"/>
    <w:rsid w:val="003A5405"/>
    <w:rsid w:val="003A6494"/>
    <w:rsid w:val="003B0B23"/>
    <w:rsid w:val="003B13BB"/>
    <w:rsid w:val="003B1B39"/>
    <w:rsid w:val="003B221D"/>
    <w:rsid w:val="003B22F9"/>
    <w:rsid w:val="003B2BBF"/>
    <w:rsid w:val="003B33C5"/>
    <w:rsid w:val="003B3CA6"/>
    <w:rsid w:val="003B3F17"/>
    <w:rsid w:val="003B6352"/>
    <w:rsid w:val="003B70FD"/>
    <w:rsid w:val="003B7B5E"/>
    <w:rsid w:val="003C135B"/>
    <w:rsid w:val="003C2BA9"/>
    <w:rsid w:val="003C4C99"/>
    <w:rsid w:val="003C5332"/>
    <w:rsid w:val="003C5791"/>
    <w:rsid w:val="003C6009"/>
    <w:rsid w:val="003C6636"/>
    <w:rsid w:val="003C670B"/>
    <w:rsid w:val="003C7FCF"/>
    <w:rsid w:val="003D07B0"/>
    <w:rsid w:val="003D183A"/>
    <w:rsid w:val="003D338A"/>
    <w:rsid w:val="003D3A51"/>
    <w:rsid w:val="003D404E"/>
    <w:rsid w:val="003D5684"/>
    <w:rsid w:val="003D5D3E"/>
    <w:rsid w:val="003D6212"/>
    <w:rsid w:val="003D70F1"/>
    <w:rsid w:val="003D7CC4"/>
    <w:rsid w:val="003E0322"/>
    <w:rsid w:val="003E213C"/>
    <w:rsid w:val="003E2C69"/>
    <w:rsid w:val="003E401D"/>
    <w:rsid w:val="003E5249"/>
    <w:rsid w:val="003E5E59"/>
    <w:rsid w:val="003E6C0E"/>
    <w:rsid w:val="003F0742"/>
    <w:rsid w:val="003F0BF1"/>
    <w:rsid w:val="003F0D21"/>
    <w:rsid w:val="003F1251"/>
    <w:rsid w:val="003F2282"/>
    <w:rsid w:val="003F2F56"/>
    <w:rsid w:val="003F3B8D"/>
    <w:rsid w:val="003F3BA5"/>
    <w:rsid w:val="003F6463"/>
    <w:rsid w:val="003F7E6B"/>
    <w:rsid w:val="00400DF2"/>
    <w:rsid w:val="0040111D"/>
    <w:rsid w:val="004032C5"/>
    <w:rsid w:val="0040421A"/>
    <w:rsid w:val="004061D3"/>
    <w:rsid w:val="004072C8"/>
    <w:rsid w:val="0040738E"/>
    <w:rsid w:val="0040790A"/>
    <w:rsid w:val="00410E3B"/>
    <w:rsid w:val="004111A4"/>
    <w:rsid w:val="00411C20"/>
    <w:rsid w:val="00412682"/>
    <w:rsid w:val="00412D31"/>
    <w:rsid w:val="004132A7"/>
    <w:rsid w:val="00413404"/>
    <w:rsid w:val="004143C5"/>
    <w:rsid w:val="00414B6D"/>
    <w:rsid w:val="00414BA1"/>
    <w:rsid w:val="004151F8"/>
    <w:rsid w:val="004169F5"/>
    <w:rsid w:val="00420CF6"/>
    <w:rsid w:val="00421280"/>
    <w:rsid w:val="004215B4"/>
    <w:rsid w:val="0042336B"/>
    <w:rsid w:val="004234BF"/>
    <w:rsid w:val="00424209"/>
    <w:rsid w:val="00424498"/>
    <w:rsid w:val="0042487C"/>
    <w:rsid w:val="00425482"/>
    <w:rsid w:val="004272A2"/>
    <w:rsid w:val="0043167C"/>
    <w:rsid w:val="00434883"/>
    <w:rsid w:val="004357E0"/>
    <w:rsid w:val="00436196"/>
    <w:rsid w:val="004366D9"/>
    <w:rsid w:val="00442024"/>
    <w:rsid w:val="004420AA"/>
    <w:rsid w:val="00442D05"/>
    <w:rsid w:val="00444344"/>
    <w:rsid w:val="004444F7"/>
    <w:rsid w:val="00444DF4"/>
    <w:rsid w:val="004450CD"/>
    <w:rsid w:val="004463ED"/>
    <w:rsid w:val="004529F7"/>
    <w:rsid w:val="00452AB4"/>
    <w:rsid w:val="00453AFE"/>
    <w:rsid w:val="00454D43"/>
    <w:rsid w:val="00456F42"/>
    <w:rsid w:val="0046083C"/>
    <w:rsid w:val="00460C2A"/>
    <w:rsid w:val="0046202C"/>
    <w:rsid w:val="004621D5"/>
    <w:rsid w:val="00463462"/>
    <w:rsid w:val="00463E29"/>
    <w:rsid w:val="00463FDD"/>
    <w:rsid w:val="00464737"/>
    <w:rsid w:val="00464830"/>
    <w:rsid w:val="0046741D"/>
    <w:rsid w:val="00467E16"/>
    <w:rsid w:val="00473650"/>
    <w:rsid w:val="00480938"/>
    <w:rsid w:val="00481292"/>
    <w:rsid w:val="00482088"/>
    <w:rsid w:val="00485EA6"/>
    <w:rsid w:val="004869C2"/>
    <w:rsid w:val="00487D68"/>
    <w:rsid w:val="00491848"/>
    <w:rsid w:val="00492339"/>
    <w:rsid w:val="004939BA"/>
    <w:rsid w:val="00493F8D"/>
    <w:rsid w:val="00493F93"/>
    <w:rsid w:val="00495090"/>
    <w:rsid w:val="004955A2"/>
    <w:rsid w:val="004A0033"/>
    <w:rsid w:val="004A0973"/>
    <w:rsid w:val="004A0F64"/>
    <w:rsid w:val="004A3502"/>
    <w:rsid w:val="004A426B"/>
    <w:rsid w:val="004A4425"/>
    <w:rsid w:val="004A4BB4"/>
    <w:rsid w:val="004B00BB"/>
    <w:rsid w:val="004B00CD"/>
    <w:rsid w:val="004B0961"/>
    <w:rsid w:val="004B2A0E"/>
    <w:rsid w:val="004B2B0E"/>
    <w:rsid w:val="004B2E6A"/>
    <w:rsid w:val="004B36B1"/>
    <w:rsid w:val="004B5748"/>
    <w:rsid w:val="004B5CD3"/>
    <w:rsid w:val="004B67A5"/>
    <w:rsid w:val="004B6957"/>
    <w:rsid w:val="004B74F4"/>
    <w:rsid w:val="004C03CD"/>
    <w:rsid w:val="004C057E"/>
    <w:rsid w:val="004C1239"/>
    <w:rsid w:val="004C3006"/>
    <w:rsid w:val="004C3977"/>
    <w:rsid w:val="004C58D5"/>
    <w:rsid w:val="004C6724"/>
    <w:rsid w:val="004C7015"/>
    <w:rsid w:val="004D250A"/>
    <w:rsid w:val="004D3490"/>
    <w:rsid w:val="004D3839"/>
    <w:rsid w:val="004D4B7D"/>
    <w:rsid w:val="004D4D30"/>
    <w:rsid w:val="004D5211"/>
    <w:rsid w:val="004D5353"/>
    <w:rsid w:val="004D6E2B"/>
    <w:rsid w:val="004D720F"/>
    <w:rsid w:val="004E08FF"/>
    <w:rsid w:val="004E0DBF"/>
    <w:rsid w:val="004E10EF"/>
    <w:rsid w:val="004E1E55"/>
    <w:rsid w:val="004E48E0"/>
    <w:rsid w:val="004F0277"/>
    <w:rsid w:val="004F05E3"/>
    <w:rsid w:val="004F113E"/>
    <w:rsid w:val="004F1CA9"/>
    <w:rsid w:val="004F1FC3"/>
    <w:rsid w:val="004F4868"/>
    <w:rsid w:val="004F5343"/>
    <w:rsid w:val="004F5FE9"/>
    <w:rsid w:val="00500785"/>
    <w:rsid w:val="00500CFD"/>
    <w:rsid w:val="00500ED6"/>
    <w:rsid w:val="00501B13"/>
    <w:rsid w:val="00501CE3"/>
    <w:rsid w:val="00501E8C"/>
    <w:rsid w:val="00503933"/>
    <w:rsid w:val="00506BDB"/>
    <w:rsid w:val="00506DD6"/>
    <w:rsid w:val="0050772F"/>
    <w:rsid w:val="00510473"/>
    <w:rsid w:val="00510C9C"/>
    <w:rsid w:val="0051132E"/>
    <w:rsid w:val="005121AA"/>
    <w:rsid w:val="005139F4"/>
    <w:rsid w:val="005146C3"/>
    <w:rsid w:val="0052191C"/>
    <w:rsid w:val="005262D7"/>
    <w:rsid w:val="00526B91"/>
    <w:rsid w:val="00527ACF"/>
    <w:rsid w:val="00530582"/>
    <w:rsid w:val="00530F5A"/>
    <w:rsid w:val="005310B9"/>
    <w:rsid w:val="00532638"/>
    <w:rsid w:val="0053287F"/>
    <w:rsid w:val="005346E0"/>
    <w:rsid w:val="00535137"/>
    <w:rsid w:val="00535908"/>
    <w:rsid w:val="00535A4E"/>
    <w:rsid w:val="005363AB"/>
    <w:rsid w:val="005367FE"/>
    <w:rsid w:val="00536CA2"/>
    <w:rsid w:val="00537473"/>
    <w:rsid w:val="00537F75"/>
    <w:rsid w:val="005401EA"/>
    <w:rsid w:val="0054096F"/>
    <w:rsid w:val="00540F39"/>
    <w:rsid w:val="005413D0"/>
    <w:rsid w:val="005415C4"/>
    <w:rsid w:val="0054168F"/>
    <w:rsid w:val="00543907"/>
    <w:rsid w:val="005452DF"/>
    <w:rsid w:val="00546EB4"/>
    <w:rsid w:val="00547BB0"/>
    <w:rsid w:val="00547D31"/>
    <w:rsid w:val="0055021D"/>
    <w:rsid w:val="0055037A"/>
    <w:rsid w:val="00550A3B"/>
    <w:rsid w:val="0055131C"/>
    <w:rsid w:val="005527B3"/>
    <w:rsid w:val="00552C64"/>
    <w:rsid w:val="00553BC1"/>
    <w:rsid w:val="00555838"/>
    <w:rsid w:val="005611E1"/>
    <w:rsid w:val="005635D1"/>
    <w:rsid w:val="00563C92"/>
    <w:rsid w:val="00565370"/>
    <w:rsid w:val="005658B5"/>
    <w:rsid w:val="005661F4"/>
    <w:rsid w:val="005721FC"/>
    <w:rsid w:val="0057393C"/>
    <w:rsid w:val="00573EE2"/>
    <w:rsid w:val="005760D3"/>
    <w:rsid w:val="00576740"/>
    <w:rsid w:val="0057682A"/>
    <w:rsid w:val="00576E7D"/>
    <w:rsid w:val="005774BF"/>
    <w:rsid w:val="00577858"/>
    <w:rsid w:val="0058085F"/>
    <w:rsid w:val="0058344E"/>
    <w:rsid w:val="00583902"/>
    <w:rsid w:val="005845F1"/>
    <w:rsid w:val="00584A5B"/>
    <w:rsid w:val="00584D15"/>
    <w:rsid w:val="00587C9C"/>
    <w:rsid w:val="0059427F"/>
    <w:rsid w:val="00594309"/>
    <w:rsid w:val="00594595"/>
    <w:rsid w:val="005950E6"/>
    <w:rsid w:val="00595235"/>
    <w:rsid w:val="00596B94"/>
    <w:rsid w:val="005A3BB1"/>
    <w:rsid w:val="005A4758"/>
    <w:rsid w:val="005A6F43"/>
    <w:rsid w:val="005A7633"/>
    <w:rsid w:val="005B0B9B"/>
    <w:rsid w:val="005B4278"/>
    <w:rsid w:val="005B4D1A"/>
    <w:rsid w:val="005B51DF"/>
    <w:rsid w:val="005B5D51"/>
    <w:rsid w:val="005B793A"/>
    <w:rsid w:val="005B7BD4"/>
    <w:rsid w:val="005B7D3C"/>
    <w:rsid w:val="005C2B24"/>
    <w:rsid w:val="005C2C2D"/>
    <w:rsid w:val="005C3659"/>
    <w:rsid w:val="005C3BDD"/>
    <w:rsid w:val="005C40EB"/>
    <w:rsid w:val="005C588B"/>
    <w:rsid w:val="005C70AB"/>
    <w:rsid w:val="005C7104"/>
    <w:rsid w:val="005D0553"/>
    <w:rsid w:val="005D1186"/>
    <w:rsid w:val="005D15A0"/>
    <w:rsid w:val="005D20F1"/>
    <w:rsid w:val="005D2BAE"/>
    <w:rsid w:val="005D55F2"/>
    <w:rsid w:val="005D7015"/>
    <w:rsid w:val="005D79BF"/>
    <w:rsid w:val="005E0A7E"/>
    <w:rsid w:val="005E0B02"/>
    <w:rsid w:val="005E2516"/>
    <w:rsid w:val="005E3E17"/>
    <w:rsid w:val="005E52C2"/>
    <w:rsid w:val="005E5B99"/>
    <w:rsid w:val="005E5C2A"/>
    <w:rsid w:val="005E6952"/>
    <w:rsid w:val="005E7550"/>
    <w:rsid w:val="005F00A2"/>
    <w:rsid w:val="005F197B"/>
    <w:rsid w:val="005F34B1"/>
    <w:rsid w:val="005F5C41"/>
    <w:rsid w:val="005F5F11"/>
    <w:rsid w:val="005F79A2"/>
    <w:rsid w:val="00600387"/>
    <w:rsid w:val="006019E8"/>
    <w:rsid w:val="00601DFE"/>
    <w:rsid w:val="00603922"/>
    <w:rsid w:val="006053A9"/>
    <w:rsid w:val="00605C46"/>
    <w:rsid w:val="0060614E"/>
    <w:rsid w:val="00606889"/>
    <w:rsid w:val="00607759"/>
    <w:rsid w:val="006103F4"/>
    <w:rsid w:val="0061206B"/>
    <w:rsid w:val="00612425"/>
    <w:rsid w:val="0061249F"/>
    <w:rsid w:val="006129B3"/>
    <w:rsid w:val="006136A5"/>
    <w:rsid w:val="00613879"/>
    <w:rsid w:val="00613F78"/>
    <w:rsid w:val="00615046"/>
    <w:rsid w:val="00623057"/>
    <w:rsid w:val="006241E7"/>
    <w:rsid w:val="00626945"/>
    <w:rsid w:val="00626A0C"/>
    <w:rsid w:val="00626F88"/>
    <w:rsid w:val="00627745"/>
    <w:rsid w:val="006310B4"/>
    <w:rsid w:val="00631EBB"/>
    <w:rsid w:val="00631EDC"/>
    <w:rsid w:val="00632744"/>
    <w:rsid w:val="00632C40"/>
    <w:rsid w:val="00633FE9"/>
    <w:rsid w:val="0063421C"/>
    <w:rsid w:val="006356B4"/>
    <w:rsid w:val="00635CC0"/>
    <w:rsid w:val="006368B9"/>
    <w:rsid w:val="00637C8F"/>
    <w:rsid w:val="00640753"/>
    <w:rsid w:val="00643E37"/>
    <w:rsid w:val="0064477C"/>
    <w:rsid w:val="006450C7"/>
    <w:rsid w:val="00646388"/>
    <w:rsid w:val="00652BC8"/>
    <w:rsid w:val="00652C2C"/>
    <w:rsid w:val="0065565E"/>
    <w:rsid w:val="00655B2B"/>
    <w:rsid w:val="00656256"/>
    <w:rsid w:val="00656C1A"/>
    <w:rsid w:val="006571C4"/>
    <w:rsid w:val="00657852"/>
    <w:rsid w:val="00657E3B"/>
    <w:rsid w:val="006602D8"/>
    <w:rsid w:val="00662005"/>
    <w:rsid w:val="00662BCF"/>
    <w:rsid w:val="00664501"/>
    <w:rsid w:val="00670142"/>
    <w:rsid w:val="00670795"/>
    <w:rsid w:val="006715F4"/>
    <w:rsid w:val="00671CDF"/>
    <w:rsid w:val="00672499"/>
    <w:rsid w:val="00674CEC"/>
    <w:rsid w:val="006800A4"/>
    <w:rsid w:val="006812A5"/>
    <w:rsid w:val="00681ADE"/>
    <w:rsid w:val="006822C5"/>
    <w:rsid w:val="0068286C"/>
    <w:rsid w:val="006860C2"/>
    <w:rsid w:val="006864A8"/>
    <w:rsid w:val="00690439"/>
    <w:rsid w:val="006904C7"/>
    <w:rsid w:val="00691004"/>
    <w:rsid w:val="006919DA"/>
    <w:rsid w:val="00691D6F"/>
    <w:rsid w:val="0069274C"/>
    <w:rsid w:val="00692B24"/>
    <w:rsid w:val="006940DF"/>
    <w:rsid w:val="0069460A"/>
    <w:rsid w:val="006953A9"/>
    <w:rsid w:val="0069673B"/>
    <w:rsid w:val="00696E1A"/>
    <w:rsid w:val="0069724A"/>
    <w:rsid w:val="006976E0"/>
    <w:rsid w:val="006A032F"/>
    <w:rsid w:val="006A07C0"/>
    <w:rsid w:val="006A0DF4"/>
    <w:rsid w:val="006A114D"/>
    <w:rsid w:val="006A3305"/>
    <w:rsid w:val="006A3928"/>
    <w:rsid w:val="006A501F"/>
    <w:rsid w:val="006A6255"/>
    <w:rsid w:val="006A7632"/>
    <w:rsid w:val="006A795A"/>
    <w:rsid w:val="006B1131"/>
    <w:rsid w:val="006B1D8B"/>
    <w:rsid w:val="006B1F27"/>
    <w:rsid w:val="006B2280"/>
    <w:rsid w:val="006B26B5"/>
    <w:rsid w:val="006B32FA"/>
    <w:rsid w:val="006B36AE"/>
    <w:rsid w:val="006C0C64"/>
    <w:rsid w:val="006C0F2B"/>
    <w:rsid w:val="006C3BD1"/>
    <w:rsid w:val="006C71C7"/>
    <w:rsid w:val="006C78EE"/>
    <w:rsid w:val="006C7F10"/>
    <w:rsid w:val="006D0093"/>
    <w:rsid w:val="006D0D03"/>
    <w:rsid w:val="006D1DE1"/>
    <w:rsid w:val="006D2278"/>
    <w:rsid w:val="006D24D2"/>
    <w:rsid w:val="006D3728"/>
    <w:rsid w:val="006D3C5B"/>
    <w:rsid w:val="006D503D"/>
    <w:rsid w:val="006D507C"/>
    <w:rsid w:val="006D6984"/>
    <w:rsid w:val="006D7847"/>
    <w:rsid w:val="006E045D"/>
    <w:rsid w:val="006E37DD"/>
    <w:rsid w:val="006E4954"/>
    <w:rsid w:val="006E4B8E"/>
    <w:rsid w:val="006E5D2D"/>
    <w:rsid w:val="006E603E"/>
    <w:rsid w:val="006E6653"/>
    <w:rsid w:val="006E66E3"/>
    <w:rsid w:val="006F0E6A"/>
    <w:rsid w:val="006F1302"/>
    <w:rsid w:val="006F2965"/>
    <w:rsid w:val="006F2F5D"/>
    <w:rsid w:val="006F36ED"/>
    <w:rsid w:val="006F4A37"/>
    <w:rsid w:val="006F5AF3"/>
    <w:rsid w:val="00700F98"/>
    <w:rsid w:val="007023BB"/>
    <w:rsid w:val="007023E7"/>
    <w:rsid w:val="00704619"/>
    <w:rsid w:val="00706F65"/>
    <w:rsid w:val="0070701D"/>
    <w:rsid w:val="007075E5"/>
    <w:rsid w:val="00707AD7"/>
    <w:rsid w:val="00711017"/>
    <w:rsid w:val="00715AF2"/>
    <w:rsid w:val="00717154"/>
    <w:rsid w:val="0072053F"/>
    <w:rsid w:val="00720594"/>
    <w:rsid w:val="0072067E"/>
    <w:rsid w:val="0072206F"/>
    <w:rsid w:val="00723011"/>
    <w:rsid w:val="00723D9C"/>
    <w:rsid w:val="00724A49"/>
    <w:rsid w:val="007263B8"/>
    <w:rsid w:val="007267CC"/>
    <w:rsid w:val="00727DB9"/>
    <w:rsid w:val="00731E68"/>
    <w:rsid w:val="007320CC"/>
    <w:rsid w:val="0073263D"/>
    <w:rsid w:val="007333DE"/>
    <w:rsid w:val="007339AB"/>
    <w:rsid w:val="00734BB1"/>
    <w:rsid w:val="00734BD8"/>
    <w:rsid w:val="007353D0"/>
    <w:rsid w:val="007402B4"/>
    <w:rsid w:val="0074050D"/>
    <w:rsid w:val="00740665"/>
    <w:rsid w:val="00740787"/>
    <w:rsid w:val="00740EF0"/>
    <w:rsid w:val="007417B9"/>
    <w:rsid w:val="00742E72"/>
    <w:rsid w:val="007432AF"/>
    <w:rsid w:val="007435A4"/>
    <w:rsid w:val="007435C6"/>
    <w:rsid w:val="0074573C"/>
    <w:rsid w:val="00745783"/>
    <w:rsid w:val="00745CF4"/>
    <w:rsid w:val="00746A6E"/>
    <w:rsid w:val="00747AA9"/>
    <w:rsid w:val="00754685"/>
    <w:rsid w:val="00754CAB"/>
    <w:rsid w:val="00756398"/>
    <w:rsid w:val="00756672"/>
    <w:rsid w:val="007575A0"/>
    <w:rsid w:val="00757E4E"/>
    <w:rsid w:val="00761F1E"/>
    <w:rsid w:val="00762103"/>
    <w:rsid w:val="00762C4E"/>
    <w:rsid w:val="007636BF"/>
    <w:rsid w:val="00764B0F"/>
    <w:rsid w:val="00765ED3"/>
    <w:rsid w:val="00766002"/>
    <w:rsid w:val="0077404A"/>
    <w:rsid w:val="00774480"/>
    <w:rsid w:val="0077599C"/>
    <w:rsid w:val="00776D1C"/>
    <w:rsid w:val="00777A53"/>
    <w:rsid w:val="00780DA6"/>
    <w:rsid w:val="00783339"/>
    <w:rsid w:val="007848F3"/>
    <w:rsid w:val="00790D55"/>
    <w:rsid w:val="0079479A"/>
    <w:rsid w:val="00794952"/>
    <w:rsid w:val="0079679E"/>
    <w:rsid w:val="00797802"/>
    <w:rsid w:val="007A3BEF"/>
    <w:rsid w:val="007A4CBD"/>
    <w:rsid w:val="007A4E08"/>
    <w:rsid w:val="007A6F46"/>
    <w:rsid w:val="007A7B77"/>
    <w:rsid w:val="007A7F9D"/>
    <w:rsid w:val="007B4BA5"/>
    <w:rsid w:val="007B599D"/>
    <w:rsid w:val="007B6147"/>
    <w:rsid w:val="007B64A4"/>
    <w:rsid w:val="007B764F"/>
    <w:rsid w:val="007C2934"/>
    <w:rsid w:val="007C2AD5"/>
    <w:rsid w:val="007C4820"/>
    <w:rsid w:val="007C4F87"/>
    <w:rsid w:val="007C733C"/>
    <w:rsid w:val="007C7412"/>
    <w:rsid w:val="007C786B"/>
    <w:rsid w:val="007D0A0A"/>
    <w:rsid w:val="007D13AC"/>
    <w:rsid w:val="007D1AAA"/>
    <w:rsid w:val="007D2DA3"/>
    <w:rsid w:val="007D64ED"/>
    <w:rsid w:val="007D69F4"/>
    <w:rsid w:val="007D732F"/>
    <w:rsid w:val="007E00AF"/>
    <w:rsid w:val="007E035D"/>
    <w:rsid w:val="007E20A9"/>
    <w:rsid w:val="007E23CF"/>
    <w:rsid w:val="007E4891"/>
    <w:rsid w:val="007E4B5A"/>
    <w:rsid w:val="007E4B63"/>
    <w:rsid w:val="007E61B5"/>
    <w:rsid w:val="007E61D5"/>
    <w:rsid w:val="007E7B8F"/>
    <w:rsid w:val="007E7CFA"/>
    <w:rsid w:val="007E7FD1"/>
    <w:rsid w:val="007F015A"/>
    <w:rsid w:val="007F01ED"/>
    <w:rsid w:val="007F0B12"/>
    <w:rsid w:val="007F3934"/>
    <w:rsid w:val="007F4794"/>
    <w:rsid w:val="007F48CB"/>
    <w:rsid w:val="007F5996"/>
    <w:rsid w:val="007F77CF"/>
    <w:rsid w:val="00801C4E"/>
    <w:rsid w:val="00803440"/>
    <w:rsid w:val="0080382D"/>
    <w:rsid w:val="00806B5C"/>
    <w:rsid w:val="008078EF"/>
    <w:rsid w:val="00807A1B"/>
    <w:rsid w:val="00810D35"/>
    <w:rsid w:val="008112AC"/>
    <w:rsid w:val="00811EF5"/>
    <w:rsid w:val="00817DE6"/>
    <w:rsid w:val="00821B45"/>
    <w:rsid w:val="00823064"/>
    <w:rsid w:val="008230F6"/>
    <w:rsid w:val="00824D2B"/>
    <w:rsid w:val="008251F9"/>
    <w:rsid w:val="00825F9B"/>
    <w:rsid w:val="00830AC8"/>
    <w:rsid w:val="008313A8"/>
    <w:rsid w:val="00832302"/>
    <w:rsid w:val="00835F85"/>
    <w:rsid w:val="0083722B"/>
    <w:rsid w:val="00837292"/>
    <w:rsid w:val="008404BF"/>
    <w:rsid w:val="00840627"/>
    <w:rsid w:val="00840EF2"/>
    <w:rsid w:val="0084174F"/>
    <w:rsid w:val="00842F0D"/>
    <w:rsid w:val="00843369"/>
    <w:rsid w:val="008437D5"/>
    <w:rsid w:val="008451BB"/>
    <w:rsid w:val="00850336"/>
    <w:rsid w:val="008559DB"/>
    <w:rsid w:val="0085610C"/>
    <w:rsid w:val="00856A12"/>
    <w:rsid w:val="008574B2"/>
    <w:rsid w:val="008604DF"/>
    <w:rsid w:val="00860A30"/>
    <w:rsid w:val="00861CE6"/>
    <w:rsid w:val="008625E7"/>
    <w:rsid w:val="00864AB0"/>
    <w:rsid w:val="00866018"/>
    <w:rsid w:val="008721BA"/>
    <w:rsid w:val="0087291D"/>
    <w:rsid w:val="00872E77"/>
    <w:rsid w:val="00873DB8"/>
    <w:rsid w:val="00876455"/>
    <w:rsid w:val="00880ED9"/>
    <w:rsid w:val="00882943"/>
    <w:rsid w:val="008832F7"/>
    <w:rsid w:val="0088469E"/>
    <w:rsid w:val="00884771"/>
    <w:rsid w:val="008852B8"/>
    <w:rsid w:val="00885437"/>
    <w:rsid w:val="00890D6B"/>
    <w:rsid w:val="00891203"/>
    <w:rsid w:val="008936F7"/>
    <w:rsid w:val="008938FC"/>
    <w:rsid w:val="00893AD1"/>
    <w:rsid w:val="008947C5"/>
    <w:rsid w:val="008962FE"/>
    <w:rsid w:val="00896A42"/>
    <w:rsid w:val="008977A7"/>
    <w:rsid w:val="008A2366"/>
    <w:rsid w:val="008A2711"/>
    <w:rsid w:val="008A3EEF"/>
    <w:rsid w:val="008A51EC"/>
    <w:rsid w:val="008A5426"/>
    <w:rsid w:val="008A65C5"/>
    <w:rsid w:val="008A73A3"/>
    <w:rsid w:val="008A7E5E"/>
    <w:rsid w:val="008B050C"/>
    <w:rsid w:val="008B551F"/>
    <w:rsid w:val="008B5DE8"/>
    <w:rsid w:val="008B6849"/>
    <w:rsid w:val="008B6E00"/>
    <w:rsid w:val="008B75AA"/>
    <w:rsid w:val="008C02F7"/>
    <w:rsid w:val="008C1437"/>
    <w:rsid w:val="008C1715"/>
    <w:rsid w:val="008C295A"/>
    <w:rsid w:val="008C2B33"/>
    <w:rsid w:val="008C2D76"/>
    <w:rsid w:val="008C4719"/>
    <w:rsid w:val="008C4C38"/>
    <w:rsid w:val="008C5FF0"/>
    <w:rsid w:val="008C68D7"/>
    <w:rsid w:val="008D0DE6"/>
    <w:rsid w:val="008D3E96"/>
    <w:rsid w:val="008D56BD"/>
    <w:rsid w:val="008D5CB4"/>
    <w:rsid w:val="008D6825"/>
    <w:rsid w:val="008D7E7D"/>
    <w:rsid w:val="008E16CA"/>
    <w:rsid w:val="008E1E73"/>
    <w:rsid w:val="008E1FF5"/>
    <w:rsid w:val="008E2C08"/>
    <w:rsid w:val="008E3D5F"/>
    <w:rsid w:val="008E721A"/>
    <w:rsid w:val="008E7BA1"/>
    <w:rsid w:val="008E7E19"/>
    <w:rsid w:val="008F547B"/>
    <w:rsid w:val="008F54EE"/>
    <w:rsid w:val="008F79A1"/>
    <w:rsid w:val="008F7F78"/>
    <w:rsid w:val="0090161B"/>
    <w:rsid w:val="009024B9"/>
    <w:rsid w:val="00903EBA"/>
    <w:rsid w:val="009062E1"/>
    <w:rsid w:val="00906F34"/>
    <w:rsid w:val="009078BB"/>
    <w:rsid w:val="00907E1C"/>
    <w:rsid w:val="009100D8"/>
    <w:rsid w:val="00910E98"/>
    <w:rsid w:val="00910EFD"/>
    <w:rsid w:val="0091163C"/>
    <w:rsid w:val="00911B88"/>
    <w:rsid w:val="009130CC"/>
    <w:rsid w:val="00914494"/>
    <w:rsid w:val="009154FA"/>
    <w:rsid w:val="00920FE7"/>
    <w:rsid w:val="00921AFD"/>
    <w:rsid w:val="00923D12"/>
    <w:rsid w:val="009243C1"/>
    <w:rsid w:val="00925A19"/>
    <w:rsid w:val="00926DE1"/>
    <w:rsid w:val="00927D58"/>
    <w:rsid w:val="00934771"/>
    <w:rsid w:val="00935D2C"/>
    <w:rsid w:val="00937169"/>
    <w:rsid w:val="009377E5"/>
    <w:rsid w:val="00937DCA"/>
    <w:rsid w:val="009402B4"/>
    <w:rsid w:val="009402EC"/>
    <w:rsid w:val="00943F37"/>
    <w:rsid w:val="0094734B"/>
    <w:rsid w:val="00947974"/>
    <w:rsid w:val="00947ABF"/>
    <w:rsid w:val="00947D1B"/>
    <w:rsid w:val="0095010C"/>
    <w:rsid w:val="009507B5"/>
    <w:rsid w:val="00951053"/>
    <w:rsid w:val="00951302"/>
    <w:rsid w:val="00951A77"/>
    <w:rsid w:val="00951D5E"/>
    <w:rsid w:val="00952819"/>
    <w:rsid w:val="00953A6C"/>
    <w:rsid w:val="00953E96"/>
    <w:rsid w:val="00954D0C"/>
    <w:rsid w:val="00956318"/>
    <w:rsid w:val="009575D0"/>
    <w:rsid w:val="00957998"/>
    <w:rsid w:val="009616DD"/>
    <w:rsid w:val="00961AB0"/>
    <w:rsid w:val="00963889"/>
    <w:rsid w:val="009638E1"/>
    <w:rsid w:val="009638FE"/>
    <w:rsid w:val="009645A2"/>
    <w:rsid w:val="00966611"/>
    <w:rsid w:val="00966963"/>
    <w:rsid w:val="0097240C"/>
    <w:rsid w:val="00973913"/>
    <w:rsid w:val="00973A1F"/>
    <w:rsid w:val="009756F0"/>
    <w:rsid w:val="00975DE2"/>
    <w:rsid w:val="009769B5"/>
    <w:rsid w:val="00976E8C"/>
    <w:rsid w:val="009776ED"/>
    <w:rsid w:val="009804CF"/>
    <w:rsid w:val="00980A3A"/>
    <w:rsid w:val="00981541"/>
    <w:rsid w:val="0098267A"/>
    <w:rsid w:val="00983B6C"/>
    <w:rsid w:val="00985D37"/>
    <w:rsid w:val="009867B1"/>
    <w:rsid w:val="00991F95"/>
    <w:rsid w:val="00992C92"/>
    <w:rsid w:val="00993052"/>
    <w:rsid w:val="00994DB9"/>
    <w:rsid w:val="009959EC"/>
    <w:rsid w:val="00996C17"/>
    <w:rsid w:val="009979A2"/>
    <w:rsid w:val="009A0485"/>
    <w:rsid w:val="009A0B49"/>
    <w:rsid w:val="009A1517"/>
    <w:rsid w:val="009A2749"/>
    <w:rsid w:val="009A39E0"/>
    <w:rsid w:val="009A528E"/>
    <w:rsid w:val="009A5C8F"/>
    <w:rsid w:val="009A6342"/>
    <w:rsid w:val="009A68D0"/>
    <w:rsid w:val="009B075C"/>
    <w:rsid w:val="009B1E46"/>
    <w:rsid w:val="009B2265"/>
    <w:rsid w:val="009B24A4"/>
    <w:rsid w:val="009B50BB"/>
    <w:rsid w:val="009B5C69"/>
    <w:rsid w:val="009B6246"/>
    <w:rsid w:val="009B713C"/>
    <w:rsid w:val="009B795E"/>
    <w:rsid w:val="009C168B"/>
    <w:rsid w:val="009C248B"/>
    <w:rsid w:val="009C50E9"/>
    <w:rsid w:val="009C5485"/>
    <w:rsid w:val="009C5F49"/>
    <w:rsid w:val="009C6296"/>
    <w:rsid w:val="009D142F"/>
    <w:rsid w:val="009D1CF1"/>
    <w:rsid w:val="009D1CFA"/>
    <w:rsid w:val="009D59BD"/>
    <w:rsid w:val="009D7D19"/>
    <w:rsid w:val="009E03F1"/>
    <w:rsid w:val="009E0C0D"/>
    <w:rsid w:val="009E16C0"/>
    <w:rsid w:val="009E2061"/>
    <w:rsid w:val="009E23EE"/>
    <w:rsid w:val="009E3E6D"/>
    <w:rsid w:val="009E572A"/>
    <w:rsid w:val="009E65EE"/>
    <w:rsid w:val="009F073E"/>
    <w:rsid w:val="009F0839"/>
    <w:rsid w:val="009F0924"/>
    <w:rsid w:val="009F2DAB"/>
    <w:rsid w:val="009F3242"/>
    <w:rsid w:val="009F3432"/>
    <w:rsid w:val="009F3512"/>
    <w:rsid w:val="009F41A6"/>
    <w:rsid w:val="009F459F"/>
    <w:rsid w:val="009F4F36"/>
    <w:rsid w:val="009F5209"/>
    <w:rsid w:val="00A01B85"/>
    <w:rsid w:val="00A0222B"/>
    <w:rsid w:val="00A02395"/>
    <w:rsid w:val="00A035D9"/>
    <w:rsid w:val="00A03EC7"/>
    <w:rsid w:val="00A03F02"/>
    <w:rsid w:val="00A050EF"/>
    <w:rsid w:val="00A0601B"/>
    <w:rsid w:val="00A07240"/>
    <w:rsid w:val="00A07739"/>
    <w:rsid w:val="00A12547"/>
    <w:rsid w:val="00A125CF"/>
    <w:rsid w:val="00A12A1D"/>
    <w:rsid w:val="00A14CF7"/>
    <w:rsid w:val="00A166CF"/>
    <w:rsid w:val="00A16790"/>
    <w:rsid w:val="00A16BD1"/>
    <w:rsid w:val="00A218DB"/>
    <w:rsid w:val="00A21994"/>
    <w:rsid w:val="00A2249D"/>
    <w:rsid w:val="00A22FF1"/>
    <w:rsid w:val="00A24C02"/>
    <w:rsid w:val="00A24EE7"/>
    <w:rsid w:val="00A26020"/>
    <w:rsid w:val="00A27D33"/>
    <w:rsid w:val="00A303A0"/>
    <w:rsid w:val="00A304D5"/>
    <w:rsid w:val="00A305A8"/>
    <w:rsid w:val="00A30C4F"/>
    <w:rsid w:val="00A30EE4"/>
    <w:rsid w:val="00A30EEC"/>
    <w:rsid w:val="00A32E3E"/>
    <w:rsid w:val="00A36AA4"/>
    <w:rsid w:val="00A43753"/>
    <w:rsid w:val="00A438BE"/>
    <w:rsid w:val="00A43ACE"/>
    <w:rsid w:val="00A4479D"/>
    <w:rsid w:val="00A45F9D"/>
    <w:rsid w:val="00A50DF0"/>
    <w:rsid w:val="00A51D5A"/>
    <w:rsid w:val="00A531E6"/>
    <w:rsid w:val="00A5587C"/>
    <w:rsid w:val="00A55EE7"/>
    <w:rsid w:val="00A56211"/>
    <w:rsid w:val="00A56635"/>
    <w:rsid w:val="00A576B1"/>
    <w:rsid w:val="00A61298"/>
    <w:rsid w:val="00A615F3"/>
    <w:rsid w:val="00A61C73"/>
    <w:rsid w:val="00A62078"/>
    <w:rsid w:val="00A624E3"/>
    <w:rsid w:val="00A626E0"/>
    <w:rsid w:val="00A63542"/>
    <w:rsid w:val="00A63F38"/>
    <w:rsid w:val="00A668E3"/>
    <w:rsid w:val="00A72019"/>
    <w:rsid w:val="00A72028"/>
    <w:rsid w:val="00A72B7D"/>
    <w:rsid w:val="00A72E45"/>
    <w:rsid w:val="00A72E5D"/>
    <w:rsid w:val="00A73130"/>
    <w:rsid w:val="00A76CA0"/>
    <w:rsid w:val="00A77A04"/>
    <w:rsid w:val="00A825D0"/>
    <w:rsid w:val="00A829F4"/>
    <w:rsid w:val="00A85C79"/>
    <w:rsid w:val="00A86819"/>
    <w:rsid w:val="00A868DD"/>
    <w:rsid w:val="00A87B6B"/>
    <w:rsid w:val="00A90D8D"/>
    <w:rsid w:val="00A92318"/>
    <w:rsid w:val="00A94025"/>
    <w:rsid w:val="00A9456B"/>
    <w:rsid w:val="00A96EFC"/>
    <w:rsid w:val="00A978A9"/>
    <w:rsid w:val="00A97C46"/>
    <w:rsid w:val="00AA05EF"/>
    <w:rsid w:val="00AA1DF4"/>
    <w:rsid w:val="00AA2740"/>
    <w:rsid w:val="00AA4978"/>
    <w:rsid w:val="00AA536E"/>
    <w:rsid w:val="00AA5633"/>
    <w:rsid w:val="00AA5B40"/>
    <w:rsid w:val="00AA6F8A"/>
    <w:rsid w:val="00AA767F"/>
    <w:rsid w:val="00AA7E0E"/>
    <w:rsid w:val="00AB0551"/>
    <w:rsid w:val="00AB0A4E"/>
    <w:rsid w:val="00AB1A8A"/>
    <w:rsid w:val="00AB1B3F"/>
    <w:rsid w:val="00AB2AD8"/>
    <w:rsid w:val="00AB3C4B"/>
    <w:rsid w:val="00AB46C6"/>
    <w:rsid w:val="00AB5AE0"/>
    <w:rsid w:val="00AB5B0E"/>
    <w:rsid w:val="00AB68A7"/>
    <w:rsid w:val="00AB7386"/>
    <w:rsid w:val="00AC146B"/>
    <w:rsid w:val="00AC18EA"/>
    <w:rsid w:val="00AC2138"/>
    <w:rsid w:val="00AC672D"/>
    <w:rsid w:val="00AC6F42"/>
    <w:rsid w:val="00AD0B6B"/>
    <w:rsid w:val="00AD1301"/>
    <w:rsid w:val="00AD1570"/>
    <w:rsid w:val="00AD1579"/>
    <w:rsid w:val="00AD1D22"/>
    <w:rsid w:val="00AD1E2F"/>
    <w:rsid w:val="00AD2B12"/>
    <w:rsid w:val="00AD3004"/>
    <w:rsid w:val="00AD458B"/>
    <w:rsid w:val="00AD65A1"/>
    <w:rsid w:val="00AD67E2"/>
    <w:rsid w:val="00AE20A6"/>
    <w:rsid w:val="00AE20DF"/>
    <w:rsid w:val="00AE4AE7"/>
    <w:rsid w:val="00AE60CE"/>
    <w:rsid w:val="00AE712C"/>
    <w:rsid w:val="00AF05DC"/>
    <w:rsid w:val="00AF10E8"/>
    <w:rsid w:val="00AF1621"/>
    <w:rsid w:val="00AF3C22"/>
    <w:rsid w:val="00AF3EDC"/>
    <w:rsid w:val="00AF6765"/>
    <w:rsid w:val="00B000D3"/>
    <w:rsid w:val="00B003F1"/>
    <w:rsid w:val="00B00C60"/>
    <w:rsid w:val="00B01EB1"/>
    <w:rsid w:val="00B01F12"/>
    <w:rsid w:val="00B02363"/>
    <w:rsid w:val="00B035D3"/>
    <w:rsid w:val="00B037D6"/>
    <w:rsid w:val="00B05256"/>
    <w:rsid w:val="00B07B5E"/>
    <w:rsid w:val="00B1018D"/>
    <w:rsid w:val="00B12452"/>
    <w:rsid w:val="00B13994"/>
    <w:rsid w:val="00B13CBA"/>
    <w:rsid w:val="00B151FF"/>
    <w:rsid w:val="00B16C1B"/>
    <w:rsid w:val="00B16C82"/>
    <w:rsid w:val="00B16F31"/>
    <w:rsid w:val="00B17A79"/>
    <w:rsid w:val="00B2282E"/>
    <w:rsid w:val="00B23369"/>
    <w:rsid w:val="00B235D0"/>
    <w:rsid w:val="00B23885"/>
    <w:rsid w:val="00B25258"/>
    <w:rsid w:val="00B258D8"/>
    <w:rsid w:val="00B26217"/>
    <w:rsid w:val="00B31006"/>
    <w:rsid w:val="00B33183"/>
    <w:rsid w:val="00B333A2"/>
    <w:rsid w:val="00B33C52"/>
    <w:rsid w:val="00B35211"/>
    <w:rsid w:val="00B35893"/>
    <w:rsid w:val="00B36134"/>
    <w:rsid w:val="00B3778E"/>
    <w:rsid w:val="00B37EB4"/>
    <w:rsid w:val="00B425F8"/>
    <w:rsid w:val="00B45218"/>
    <w:rsid w:val="00B46E93"/>
    <w:rsid w:val="00B47C6F"/>
    <w:rsid w:val="00B47FDA"/>
    <w:rsid w:val="00B52D75"/>
    <w:rsid w:val="00B532D5"/>
    <w:rsid w:val="00B545B3"/>
    <w:rsid w:val="00B55C59"/>
    <w:rsid w:val="00B56573"/>
    <w:rsid w:val="00B5703A"/>
    <w:rsid w:val="00B57931"/>
    <w:rsid w:val="00B60A4A"/>
    <w:rsid w:val="00B625E8"/>
    <w:rsid w:val="00B63418"/>
    <w:rsid w:val="00B636A9"/>
    <w:rsid w:val="00B64295"/>
    <w:rsid w:val="00B64D08"/>
    <w:rsid w:val="00B65B83"/>
    <w:rsid w:val="00B67394"/>
    <w:rsid w:val="00B6770F"/>
    <w:rsid w:val="00B67D3F"/>
    <w:rsid w:val="00B700F0"/>
    <w:rsid w:val="00B70649"/>
    <w:rsid w:val="00B70962"/>
    <w:rsid w:val="00B70F07"/>
    <w:rsid w:val="00B7139C"/>
    <w:rsid w:val="00B71B80"/>
    <w:rsid w:val="00B726FB"/>
    <w:rsid w:val="00B7317D"/>
    <w:rsid w:val="00B749B4"/>
    <w:rsid w:val="00B770B8"/>
    <w:rsid w:val="00B8177D"/>
    <w:rsid w:val="00B82175"/>
    <w:rsid w:val="00B82446"/>
    <w:rsid w:val="00B850F6"/>
    <w:rsid w:val="00B857F6"/>
    <w:rsid w:val="00B86C54"/>
    <w:rsid w:val="00B87369"/>
    <w:rsid w:val="00B903C5"/>
    <w:rsid w:val="00B907AC"/>
    <w:rsid w:val="00B925D2"/>
    <w:rsid w:val="00B92D6E"/>
    <w:rsid w:val="00B94CA2"/>
    <w:rsid w:val="00B952C0"/>
    <w:rsid w:val="00B96482"/>
    <w:rsid w:val="00BA0BB3"/>
    <w:rsid w:val="00BA1D6B"/>
    <w:rsid w:val="00BA2AA4"/>
    <w:rsid w:val="00BA30CD"/>
    <w:rsid w:val="00BA6DE3"/>
    <w:rsid w:val="00BB1552"/>
    <w:rsid w:val="00BB1E35"/>
    <w:rsid w:val="00BB243D"/>
    <w:rsid w:val="00BB267D"/>
    <w:rsid w:val="00BB3204"/>
    <w:rsid w:val="00BB7662"/>
    <w:rsid w:val="00BB796F"/>
    <w:rsid w:val="00BB7C3D"/>
    <w:rsid w:val="00BC05CE"/>
    <w:rsid w:val="00BC12A1"/>
    <w:rsid w:val="00BC22A6"/>
    <w:rsid w:val="00BC2A34"/>
    <w:rsid w:val="00BC2B30"/>
    <w:rsid w:val="00BC316C"/>
    <w:rsid w:val="00BC5298"/>
    <w:rsid w:val="00BC5AF2"/>
    <w:rsid w:val="00BC6378"/>
    <w:rsid w:val="00BC69BA"/>
    <w:rsid w:val="00BD2B7D"/>
    <w:rsid w:val="00BD2D25"/>
    <w:rsid w:val="00BD483E"/>
    <w:rsid w:val="00BD58F6"/>
    <w:rsid w:val="00BD6494"/>
    <w:rsid w:val="00BE2093"/>
    <w:rsid w:val="00BE2C16"/>
    <w:rsid w:val="00BE3724"/>
    <w:rsid w:val="00BE4462"/>
    <w:rsid w:val="00BE54D7"/>
    <w:rsid w:val="00BE6B54"/>
    <w:rsid w:val="00BE7B97"/>
    <w:rsid w:val="00BF25FC"/>
    <w:rsid w:val="00BF44F8"/>
    <w:rsid w:val="00BF4B86"/>
    <w:rsid w:val="00BF50E6"/>
    <w:rsid w:val="00BF561A"/>
    <w:rsid w:val="00BF5700"/>
    <w:rsid w:val="00BF6C31"/>
    <w:rsid w:val="00BF7DCB"/>
    <w:rsid w:val="00C04201"/>
    <w:rsid w:val="00C05DB5"/>
    <w:rsid w:val="00C05EA6"/>
    <w:rsid w:val="00C06F97"/>
    <w:rsid w:val="00C0723D"/>
    <w:rsid w:val="00C07259"/>
    <w:rsid w:val="00C10C51"/>
    <w:rsid w:val="00C12538"/>
    <w:rsid w:val="00C146D0"/>
    <w:rsid w:val="00C14D76"/>
    <w:rsid w:val="00C14DAE"/>
    <w:rsid w:val="00C1548B"/>
    <w:rsid w:val="00C15F93"/>
    <w:rsid w:val="00C1690D"/>
    <w:rsid w:val="00C17BE6"/>
    <w:rsid w:val="00C20EA4"/>
    <w:rsid w:val="00C231E2"/>
    <w:rsid w:val="00C23D5B"/>
    <w:rsid w:val="00C24631"/>
    <w:rsid w:val="00C3177D"/>
    <w:rsid w:val="00C318E5"/>
    <w:rsid w:val="00C319BD"/>
    <w:rsid w:val="00C3310B"/>
    <w:rsid w:val="00C331E0"/>
    <w:rsid w:val="00C33E7C"/>
    <w:rsid w:val="00C344E2"/>
    <w:rsid w:val="00C3519B"/>
    <w:rsid w:val="00C371A2"/>
    <w:rsid w:val="00C37E4B"/>
    <w:rsid w:val="00C44C81"/>
    <w:rsid w:val="00C51F7B"/>
    <w:rsid w:val="00C54648"/>
    <w:rsid w:val="00C55AD3"/>
    <w:rsid w:val="00C5759B"/>
    <w:rsid w:val="00C576C6"/>
    <w:rsid w:val="00C64737"/>
    <w:rsid w:val="00C65D52"/>
    <w:rsid w:val="00C7137C"/>
    <w:rsid w:val="00C713C2"/>
    <w:rsid w:val="00C71B91"/>
    <w:rsid w:val="00C71CFD"/>
    <w:rsid w:val="00C71F16"/>
    <w:rsid w:val="00C739E7"/>
    <w:rsid w:val="00C73B74"/>
    <w:rsid w:val="00C73E23"/>
    <w:rsid w:val="00C75A60"/>
    <w:rsid w:val="00C75BEC"/>
    <w:rsid w:val="00C76775"/>
    <w:rsid w:val="00C77203"/>
    <w:rsid w:val="00C802B4"/>
    <w:rsid w:val="00C810A2"/>
    <w:rsid w:val="00C818C6"/>
    <w:rsid w:val="00C82A88"/>
    <w:rsid w:val="00C8355B"/>
    <w:rsid w:val="00C8367B"/>
    <w:rsid w:val="00C8516B"/>
    <w:rsid w:val="00C86C6A"/>
    <w:rsid w:val="00C9033C"/>
    <w:rsid w:val="00C9093B"/>
    <w:rsid w:val="00C909C1"/>
    <w:rsid w:val="00C915AC"/>
    <w:rsid w:val="00C93D32"/>
    <w:rsid w:val="00C955A4"/>
    <w:rsid w:val="00C95657"/>
    <w:rsid w:val="00C95860"/>
    <w:rsid w:val="00C95EE6"/>
    <w:rsid w:val="00CA1371"/>
    <w:rsid w:val="00CA1912"/>
    <w:rsid w:val="00CA1CD6"/>
    <w:rsid w:val="00CA2C74"/>
    <w:rsid w:val="00CA5B6E"/>
    <w:rsid w:val="00CA5F6E"/>
    <w:rsid w:val="00CA6F52"/>
    <w:rsid w:val="00CA780A"/>
    <w:rsid w:val="00CA7B21"/>
    <w:rsid w:val="00CB0FCF"/>
    <w:rsid w:val="00CB1795"/>
    <w:rsid w:val="00CB3E67"/>
    <w:rsid w:val="00CB41CA"/>
    <w:rsid w:val="00CB4FE3"/>
    <w:rsid w:val="00CB54E3"/>
    <w:rsid w:val="00CB5D3C"/>
    <w:rsid w:val="00CB6FE5"/>
    <w:rsid w:val="00CB76D1"/>
    <w:rsid w:val="00CC00C2"/>
    <w:rsid w:val="00CC1941"/>
    <w:rsid w:val="00CC21AA"/>
    <w:rsid w:val="00CC2F65"/>
    <w:rsid w:val="00CC53CD"/>
    <w:rsid w:val="00CC6123"/>
    <w:rsid w:val="00CC741D"/>
    <w:rsid w:val="00CC7E17"/>
    <w:rsid w:val="00CD1EC4"/>
    <w:rsid w:val="00CD3718"/>
    <w:rsid w:val="00CD3824"/>
    <w:rsid w:val="00CD4526"/>
    <w:rsid w:val="00CD5892"/>
    <w:rsid w:val="00CD5A49"/>
    <w:rsid w:val="00CD783A"/>
    <w:rsid w:val="00CD7B35"/>
    <w:rsid w:val="00CE183A"/>
    <w:rsid w:val="00CE2131"/>
    <w:rsid w:val="00CE21FF"/>
    <w:rsid w:val="00CE29B2"/>
    <w:rsid w:val="00CE36A2"/>
    <w:rsid w:val="00CE3B8A"/>
    <w:rsid w:val="00CE463F"/>
    <w:rsid w:val="00CE695F"/>
    <w:rsid w:val="00CE72BF"/>
    <w:rsid w:val="00CF085D"/>
    <w:rsid w:val="00CF0A51"/>
    <w:rsid w:val="00CF36DC"/>
    <w:rsid w:val="00CF443C"/>
    <w:rsid w:val="00CF72CB"/>
    <w:rsid w:val="00D009C9"/>
    <w:rsid w:val="00D0179C"/>
    <w:rsid w:val="00D03449"/>
    <w:rsid w:val="00D06C48"/>
    <w:rsid w:val="00D10088"/>
    <w:rsid w:val="00D10A90"/>
    <w:rsid w:val="00D12FC9"/>
    <w:rsid w:val="00D13ACF"/>
    <w:rsid w:val="00D13B7D"/>
    <w:rsid w:val="00D157C3"/>
    <w:rsid w:val="00D20809"/>
    <w:rsid w:val="00D2080A"/>
    <w:rsid w:val="00D20A77"/>
    <w:rsid w:val="00D21F12"/>
    <w:rsid w:val="00D222FB"/>
    <w:rsid w:val="00D228D7"/>
    <w:rsid w:val="00D22DCF"/>
    <w:rsid w:val="00D22F1F"/>
    <w:rsid w:val="00D23084"/>
    <w:rsid w:val="00D2387C"/>
    <w:rsid w:val="00D23B83"/>
    <w:rsid w:val="00D23FA2"/>
    <w:rsid w:val="00D24CC6"/>
    <w:rsid w:val="00D2765E"/>
    <w:rsid w:val="00D33C21"/>
    <w:rsid w:val="00D34202"/>
    <w:rsid w:val="00D3507F"/>
    <w:rsid w:val="00D36898"/>
    <w:rsid w:val="00D37C32"/>
    <w:rsid w:val="00D403ED"/>
    <w:rsid w:val="00D407E2"/>
    <w:rsid w:val="00D42BE7"/>
    <w:rsid w:val="00D42E29"/>
    <w:rsid w:val="00D43C27"/>
    <w:rsid w:val="00D43D06"/>
    <w:rsid w:val="00D44B03"/>
    <w:rsid w:val="00D44E4D"/>
    <w:rsid w:val="00D4527D"/>
    <w:rsid w:val="00D45397"/>
    <w:rsid w:val="00D46FA7"/>
    <w:rsid w:val="00D50113"/>
    <w:rsid w:val="00D50E6B"/>
    <w:rsid w:val="00D52278"/>
    <w:rsid w:val="00D54340"/>
    <w:rsid w:val="00D54437"/>
    <w:rsid w:val="00D54DCD"/>
    <w:rsid w:val="00D554F7"/>
    <w:rsid w:val="00D611EB"/>
    <w:rsid w:val="00D61BC1"/>
    <w:rsid w:val="00D623C5"/>
    <w:rsid w:val="00D64A97"/>
    <w:rsid w:val="00D6626B"/>
    <w:rsid w:val="00D662FC"/>
    <w:rsid w:val="00D67200"/>
    <w:rsid w:val="00D678DE"/>
    <w:rsid w:val="00D67CCC"/>
    <w:rsid w:val="00D67D89"/>
    <w:rsid w:val="00D72953"/>
    <w:rsid w:val="00D75E57"/>
    <w:rsid w:val="00D77703"/>
    <w:rsid w:val="00D81E07"/>
    <w:rsid w:val="00D83135"/>
    <w:rsid w:val="00D83AE4"/>
    <w:rsid w:val="00D85075"/>
    <w:rsid w:val="00D85458"/>
    <w:rsid w:val="00D87106"/>
    <w:rsid w:val="00D9162D"/>
    <w:rsid w:val="00D91F7C"/>
    <w:rsid w:val="00D92842"/>
    <w:rsid w:val="00D936ED"/>
    <w:rsid w:val="00D9423C"/>
    <w:rsid w:val="00D9427C"/>
    <w:rsid w:val="00D95522"/>
    <w:rsid w:val="00D9584B"/>
    <w:rsid w:val="00D969E5"/>
    <w:rsid w:val="00DA1419"/>
    <w:rsid w:val="00DA42E0"/>
    <w:rsid w:val="00DA52BE"/>
    <w:rsid w:val="00DA5D28"/>
    <w:rsid w:val="00DA78D1"/>
    <w:rsid w:val="00DB0619"/>
    <w:rsid w:val="00DB1236"/>
    <w:rsid w:val="00DB15EA"/>
    <w:rsid w:val="00DB1951"/>
    <w:rsid w:val="00DB1E9A"/>
    <w:rsid w:val="00DB2E51"/>
    <w:rsid w:val="00DB6C8C"/>
    <w:rsid w:val="00DB7F73"/>
    <w:rsid w:val="00DC1759"/>
    <w:rsid w:val="00DC42D4"/>
    <w:rsid w:val="00DC55E5"/>
    <w:rsid w:val="00DC6C5B"/>
    <w:rsid w:val="00DC6EF4"/>
    <w:rsid w:val="00DC749C"/>
    <w:rsid w:val="00DC7A2E"/>
    <w:rsid w:val="00DD0388"/>
    <w:rsid w:val="00DD0B87"/>
    <w:rsid w:val="00DD1796"/>
    <w:rsid w:val="00DD4DA7"/>
    <w:rsid w:val="00DD63E4"/>
    <w:rsid w:val="00DE0271"/>
    <w:rsid w:val="00DE167D"/>
    <w:rsid w:val="00DE1AB9"/>
    <w:rsid w:val="00DE1E51"/>
    <w:rsid w:val="00DE1FB1"/>
    <w:rsid w:val="00DE352D"/>
    <w:rsid w:val="00DE3D1B"/>
    <w:rsid w:val="00DE3D58"/>
    <w:rsid w:val="00DE55A4"/>
    <w:rsid w:val="00DE6835"/>
    <w:rsid w:val="00DE7EA0"/>
    <w:rsid w:val="00DE7EE7"/>
    <w:rsid w:val="00DF04BF"/>
    <w:rsid w:val="00DF5DE5"/>
    <w:rsid w:val="00E004CA"/>
    <w:rsid w:val="00E03A2B"/>
    <w:rsid w:val="00E04553"/>
    <w:rsid w:val="00E04A93"/>
    <w:rsid w:val="00E071F6"/>
    <w:rsid w:val="00E07556"/>
    <w:rsid w:val="00E10139"/>
    <w:rsid w:val="00E12050"/>
    <w:rsid w:val="00E1206B"/>
    <w:rsid w:val="00E1242C"/>
    <w:rsid w:val="00E158FA"/>
    <w:rsid w:val="00E163B0"/>
    <w:rsid w:val="00E1793C"/>
    <w:rsid w:val="00E230B2"/>
    <w:rsid w:val="00E23187"/>
    <w:rsid w:val="00E24D8B"/>
    <w:rsid w:val="00E250B2"/>
    <w:rsid w:val="00E26541"/>
    <w:rsid w:val="00E27C46"/>
    <w:rsid w:val="00E302E0"/>
    <w:rsid w:val="00E3085F"/>
    <w:rsid w:val="00E3265B"/>
    <w:rsid w:val="00E334F9"/>
    <w:rsid w:val="00E340A2"/>
    <w:rsid w:val="00E340A9"/>
    <w:rsid w:val="00E35027"/>
    <w:rsid w:val="00E35B70"/>
    <w:rsid w:val="00E37DFE"/>
    <w:rsid w:val="00E40850"/>
    <w:rsid w:val="00E40943"/>
    <w:rsid w:val="00E42351"/>
    <w:rsid w:val="00E46242"/>
    <w:rsid w:val="00E467BA"/>
    <w:rsid w:val="00E46EF0"/>
    <w:rsid w:val="00E528CC"/>
    <w:rsid w:val="00E52DE2"/>
    <w:rsid w:val="00E55B0E"/>
    <w:rsid w:val="00E55CED"/>
    <w:rsid w:val="00E56D65"/>
    <w:rsid w:val="00E57DB2"/>
    <w:rsid w:val="00E62441"/>
    <w:rsid w:val="00E62887"/>
    <w:rsid w:val="00E628AF"/>
    <w:rsid w:val="00E62DA5"/>
    <w:rsid w:val="00E664EC"/>
    <w:rsid w:val="00E665C5"/>
    <w:rsid w:val="00E67AB1"/>
    <w:rsid w:val="00E705FA"/>
    <w:rsid w:val="00E71050"/>
    <w:rsid w:val="00E73C3B"/>
    <w:rsid w:val="00E75C0B"/>
    <w:rsid w:val="00E7637E"/>
    <w:rsid w:val="00E76C4E"/>
    <w:rsid w:val="00E77BC8"/>
    <w:rsid w:val="00E77BE6"/>
    <w:rsid w:val="00E803C5"/>
    <w:rsid w:val="00E81995"/>
    <w:rsid w:val="00E83547"/>
    <w:rsid w:val="00E8472A"/>
    <w:rsid w:val="00E848F4"/>
    <w:rsid w:val="00E87A01"/>
    <w:rsid w:val="00E90F1A"/>
    <w:rsid w:val="00E91024"/>
    <w:rsid w:val="00E914AE"/>
    <w:rsid w:val="00E91D7C"/>
    <w:rsid w:val="00E92F0A"/>
    <w:rsid w:val="00E93377"/>
    <w:rsid w:val="00E934C5"/>
    <w:rsid w:val="00E95CC1"/>
    <w:rsid w:val="00E95EB6"/>
    <w:rsid w:val="00EA2199"/>
    <w:rsid w:val="00EA433C"/>
    <w:rsid w:val="00EA552F"/>
    <w:rsid w:val="00EA6265"/>
    <w:rsid w:val="00EB274A"/>
    <w:rsid w:val="00EB38F6"/>
    <w:rsid w:val="00EB516A"/>
    <w:rsid w:val="00EB5E1D"/>
    <w:rsid w:val="00EB620B"/>
    <w:rsid w:val="00EB7D35"/>
    <w:rsid w:val="00EC2FDF"/>
    <w:rsid w:val="00EC386F"/>
    <w:rsid w:val="00EC3B8C"/>
    <w:rsid w:val="00EC468C"/>
    <w:rsid w:val="00EC6134"/>
    <w:rsid w:val="00EC658B"/>
    <w:rsid w:val="00EC7496"/>
    <w:rsid w:val="00ED29F6"/>
    <w:rsid w:val="00ED3A34"/>
    <w:rsid w:val="00ED3AB7"/>
    <w:rsid w:val="00ED3EF0"/>
    <w:rsid w:val="00ED5B96"/>
    <w:rsid w:val="00ED647B"/>
    <w:rsid w:val="00ED6A17"/>
    <w:rsid w:val="00ED7321"/>
    <w:rsid w:val="00ED74FD"/>
    <w:rsid w:val="00EE14B9"/>
    <w:rsid w:val="00EE1AC7"/>
    <w:rsid w:val="00EE3238"/>
    <w:rsid w:val="00EE32E0"/>
    <w:rsid w:val="00EE34E2"/>
    <w:rsid w:val="00EE4813"/>
    <w:rsid w:val="00EE6DDE"/>
    <w:rsid w:val="00EE7BAA"/>
    <w:rsid w:val="00EF1FD6"/>
    <w:rsid w:val="00EF2DC1"/>
    <w:rsid w:val="00EF4A34"/>
    <w:rsid w:val="00EF4DEB"/>
    <w:rsid w:val="00EF56FE"/>
    <w:rsid w:val="00EF68F1"/>
    <w:rsid w:val="00F01030"/>
    <w:rsid w:val="00F01678"/>
    <w:rsid w:val="00F01B5C"/>
    <w:rsid w:val="00F03150"/>
    <w:rsid w:val="00F0446A"/>
    <w:rsid w:val="00F046BA"/>
    <w:rsid w:val="00F049CF"/>
    <w:rsid w:val="00F07130"/>
    <w:rsid w:val="00F0761D"/>
    <w:rsid w:val="00F113E5"/>
    <w:rsid w:val="00F138FA"/>
    <w:rsid w:val="00F149F5"/>
    <w:rsid w:val="00F14B67"/>
    <w:rsid w:val="00F1666A"/>
    <w:rsid w:val="00F1776D"/>
    <w:rsid w:val="00F217FF"/>
    <w:rsid w:val="00F2213B"/>
    <w:rsid w:val="00F22C7B"/>
    <w:rsid w:val="00F2432F"/>
    <w:rsid w:val="00F24843"/>
    <w:rsid w:val="00F24AC5"/>
    <w:rsid w:val="00F24EC0"/>
    <w:rsid w:val="00F2566E"/>
    <w:rsid w:val="00F267CB"/>
    <w:rsid w:val="00F26D17"/>
    <w:rsid w:val="00F2741B"/>
    <w:rsid w:val="00F30BB4"/>
    <w:rsid w:val="00F314E3"/>
    <w:rsid w:val="00F32616"/>
    <w:rsid w:val="00F32C9C"/>
    <w:rsid w:val="00F3303E"/>
    <w:rsid w:val="00F335E9"/>
    <w:rsid w:val="00F34CA8"/>
    <w:rsid w:val="00F34CBC"/>
    <w:rsid w:val="00F35A9E"/>
    <w:rsid w:val="00F41E3D"/>
    <w:rsid w:val="00F4433D"/>
    <w:rsid w:val="00F45A78"/>
    <w:rsid w:val="00F4651F"/>
    <w:rsid w:val="00F47510"/>
    <w:rsid w:val="00F478AB"/>
    <w:rsid w:val="00F50ED8"/>
    <w:rsid w:val="00F53055"/>
    <w:rsid w:val="00F55F83"/>
    <w:rsid w:val="00F56D95"/>
    <w:rsid w:val="00F572CB"/>
    <w:rsid w:val="00F5779E"/>
    <w:rsid w:val="00F602ED"/>
    <w:rsid w:val="00F60B68"/>
    <w:rsid w:val="00F60C16"/>
    <w:rsid w:val="00F6265B"/>
    <w:rsid w:val="00F62DF1"/>
    <w:rsid w:val="00F63C36"/>
    <w:rsid w:val="00F64B08"/>
    <w:rsid w:val="00F64B65"/>
    <w:rsid w:val="00F653CE"/>
    <w:rsid w:val="00F65BC5"/>
    <w:rsid w:val="00F66B60"/>
    <w:rsid w:val="00F70CBB"/>
    <w:rsid w:val="00F716DD"/>
    <w:rsid w:val="00F71E1D"/>
    <w:rsid w:val="00F72FB0"/>
    <w:rsid w:val="00F7530F"/>
    <w:rsid w:val="00F7578C"/>
    <w:rsid w:val="00F76128"/>
    <w:rsid w:val="00F76A36"/>
    <w:rsid w:val="00F80CED"/>
    <w:rsid w:val="00F80FD1"/>
    <w:rsid w:val="00F81A28"/>
    <w:rsid w:val="00F82F60"/>
    <w:rsid w:val="00F85FA7"/>
    <w:rsid w:val="00F87446"/>
    <w:rsid w:val="00F87953"/>
    <w:rsid w:val="00F87AF9"/>
    <w:rsid w:val="00F912E6"/>
    <w:rsid w:val="00F91362"/>
    <w:rsid w:val="00F91D80"/>
    <w:rsid w:val="00F93B00"/>
    <w:rsid w:val="00F9446E"/>
    <w:rsid w:val="00FA2A73"/>
    <w:rsid w:val="00FA6B13"/>
    <w:rsid w:val="00FA76B9"/>
    <w:rsid w:val="00FB0669"/>
    <w:rsid w:val="00FB0D73"/>
    <w:rsid w:val="00FB1629"/>
    <w:rsid w:val="00FB1F35"/>
    <w:rsid w:val="00FB24BC"/>
    <w:rsid w:val="00FB2ADF"/>
    <w:rsid w:val="00FB3AD9"/>
    <w:rsid w:val="00FB5FC0"/>
    <w:rsid w:val="00FC0320"/>
    <w:rsid w:val="00FC1FA9"/>
    <w:rsid w:val="00FC217B"/>
    <w:rsid w:val="00FC2DBC"/>
    <w:rsid w:val="00FC3655"/>
    <w:rsid w:val="00FC5BF4"/>
    <w:rsid w:val="00FC6A23"/>
    <w:rsid w:val="00FC78EA"/>
    <w:rsid w:val="00FD206E"/>
    <w:rsid w:val="00FD318A"/>
    <w:rsid w:val="00FD3525"/>
    <w:rsid w:val="00FD4794"/>
    <w:rsid w:val="00FD4E2A"/>
    <w:rsid w:val="00FD52AC"/>
    <w:rsid w:val="00FD5303"/>
    <w:rsid w:val="00FD57D7"/>
    <w:rsid w:val="00FD663F"/>
    <w:rsid w:val="00FD70C0"/>
    <w:rsid w:val="00FE00CC"/>
    <w:rsid w:val="00FE20B7"/>
    <w:rsid w:val="00FE26A3"/>
    <w:rsid w:val="00FE4009"/>
    <w:rsid w:val="00FE59FB"/>
    <w:rsid w:val="00FE6653"/>
    <w:rsid w:val="00FE6661"/>
    <w:rsid w:val="00FE7E86"/>
    <w:rsid w:val="00FF0BC1"/>
    <w:rsid w:val="00FF313B"/>
    <w:rsid w:val="00FF5337"/>
    <w:rsid w:val="00FF698E"/>
    <w:rsid w:val="03F27B67"/>
    <w:rsid w:val="05902114"/>
    <w:rsid w:val="0BBC084E"/>
    <w:rsid w:val="11126970"/>
    <w:rsid w:val="12D0036B"/>
    <w:rsid w:val="13E232A9"/>
    <w:rsid w:val="1AB264C5"/>
    <w:rsid w:val="239F192F"/>
    <w:rsid w:val="24F37DA9"/>
    <w:rsid w:val="25BA46F2"/>
    <w:rsid w:val="31E748F5"/>
    <w:rsid w:val="488B4D7D"/>
    <w:rsid w:val="4B1E03CD"/>
    <w:rsid w:val="4CDF43A8"/>
    <w:rsid w:val="57CB6E97"/>
    <w:rsid w:val="5E5E18DF"/>
    <w:rsid w:val="712443A8"/>
    <w:rsid w:val="742873A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rFonts w:cs="Times New Roman"/>
      <w:b/>
      <w:bCs/>
      <w:sz w:val="32"/>
      <w:szCs w:val="32"/>
    </w:rPr>
  </w:style>
  <w:style w:type="character" w:default="1" w:styleId="10">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tcPr>
      <w:textDirection w:val="lrTb"/>
    </w:tcPr>
  </w:style>
  <w:style w:type="paragraph" w:styleId="5">
    <w:name w:val="Document Map"/>
    <w:basedOn w:val="1"/>
    <w:link w:val="26"/>
    <w:unhideWhenUsed/>
    <w:uiPriority w:val="99"/>
    <w:rPr>
      <w:rFonts w:ascii="宋体"/>
      <w:sz w:val="18"/>
      <w:szCs w:val="18"/>
    </w:rPr>
  </w:style>
  <w:style w:type="paragraph" w:styleId="6">
    <w:name w:val="Balloon Text"/>
    <w:basedOn w:val="1"/>
    <w:link w:val="27"/>
    <w:unhideWhenUsed/>
    <w:uiPriority w:val="99"/>
    <w:rPr>
      <w:sz w:val="18"/>
      <w:szCs w:val="18"/>
    </w:rPr>
  </w:style>
  <w:style w:type="paragraph" w:styleId="7">
    <w:name w:val="footer"/>
    <w:basedOn w:val="1"/>
    <w:link w:val="28"/>
    <w:unhideWhenUsed/>
    <w:uiPriority w:val="99"/>
    <w:pPr>
      <w:tabs>
        <w:tab w:val="center" w:pos="4153"/>
        <w:tab w:val="right" w:pos="8306"/>
      </w:tabs>
      <w:snapToGrid w:val="0"/>
      <w:jc w:val="left"/>
    </w:pPr>
    <w:rPr>
      <w:sz w:val="18"/>
      <w:szCs w:val="18"/>
    </w:rPr>
  </w:style>
  <w:style w:type="paragraph" w:styleId="8">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30"/>
    <w:unhideWhenUsed/>
    <w:uiPriority w:val="99"/>
    <w:pPr>
      <w:snapToGrid w:val="0"/>
      <w:jc w:val="left"/>
    </w:pPr>
    <w:rPr>
      <w:sz w:val="18"/>
      <w:szCs w:val="18"/>
    </w:rPr>
  </w:style>
  <w:style w:type="character" w:styleId="11">
    <w:name w:val="FollowedHyperlink"/>
    <w:unhideWhenUsed/>
    <w:uiPriority w:val="99"/>
    <w:rPr>
      <w:color w:val="800080"/>
      <w:u w:val="single"/>
    </w:rPr>
  </w:style>
  <w:style w:type="character" w:styleId="12">
    <w:name w:val="Hyperlink"/>
    <w:unhideWhenUsed/>
    <w:uiPriority w:val="99"/>
    <w:rPr>
      <w:color w:val="0000FF"/>
      <w:u w:val="single"/>
    </w:rPr>
  </w:style>
  <w:style w:type="character" w:styleId="13">
    <w:name w:val="footnote reference"/>
    <w:unhideWhenUsed/>
    <w:uiPriority w:val="99"/>
    <w:rPr>
      <w:vertAlign w:val="superscript"/>
    </w:rPr>
  </w:style>
  <w:style w:type="table" w:styleId="15">
    <w:name w:val="Table Grid"/>
    <w:basedOn w:val="14"/>
    <w:uiPriority w:val="59"/>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6">
    <w:name w:val="列出段落1"/>
    <w:basedOn w:val="1"/>
    <w:qFormat/>
    <w:uiPriority w:val="34"/>
    <w:pPr>
      <w:ind w:firstLine="420" w:firstLineChars="200"/>
    </w:pPr>
    <w:rPr>
      <w:rFonts w:cs="Times New Roman"/>
    </w:rPr>
  </w:style>
  <w:style w:type="paragraph" w:customStyle="1" w:styleId="17">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9">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0">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
    <w:name w:val="xl69"/>
    <w:basedOn w:val="1"/>
    <w:uiPriority w:val="0"/>
    <w:pPr>
      <w:widowControl/>
      <w:pBdr>
        <w:bottom w:val="single" w:color="auto" w:sz="8" w:space="0"/>
        <w:right w:val="single" w:color="auto" w:sz="8" w:space="0"/>
      </w:pBdr>
      <w:spacing w:before="100" w:beforeAutospacing="1" w:after="100" w:afterAutospacing="1"/>
      <w:jc w:val="center"/>
    </w:pPr>
    <w:rPr>
      <w:rFonts w:cs="Calibri"/>
      <w:color w:val="000000"/>
      <w:kern w:val="0"/>
      <w:sz w:val="18"/>
      <w:szCs w:val="18"/>
    </w:rPr>
  </w:style>
  <w:style w:type="character" w:customStyle="1" w:styleId="23">
    <w:name w:val="标题 1 Char"/>
    <w:link w:val="2"/>
    <w:uiPriority w:val="9"/>
    <w:rPr>
      <w:rFonts w:ascii="Calibri" w:hAnsi="Calibri" w:eastAsia="宋体" w:cs="Times New Roman"/>
      <w:b/>
      <w:bCs/>
      <w:kern w:val="44"/>
      <w:sz w:val="44"/>
      <w:szCs w:val="44"/>
    </w:rPr>
  </w:style>
  <w:style w:type="character" w:customStyle="1" w:styleId="24">
    <w:name w:val="标题 2 Char"/>
    <w:link w:val="3"/>
    <w:uiPriority w:val="9"/>
    <w:rPr>
      <w:rFonts w:ascii="Cambria" w:hAnsi="Cambria" w:eastAsia="宋体" w:cs="黑体"/>
      <w:b/>
      <w:bCs/>
      <w:sz w:val="32"/>
      <w:szCs w:val="32"/>
    </w:rPr>
  </w:style>
  <w:style w:type="character" w:customStyle="1" w:styleId="25">
    <w:name w:val="标题 3 Char"/>
    <w:link w:val="4"/>
    <w:uiPriority w:val="9"/>
    <w:rPr>
      <w:rFonts w:ascii="Calibri" w:hAnsi="Calibri" w:eastAsia="宋体" w:cs="Times New Roman"/>
      <w:b/>
      <w:bCs/>
      <w:sz w:val="32"/>
      <w:szCs w:val="32"/>
    </w:rPr>
  </w:style>
  <w:style w:type="character" w:customStyle="1" w:styleId="26">
    <w:name w:val="文档结构图 Char"/>
    <w:link w:val="5"/>
    <w:semiHidden/>
    <w:uiPriority w:val="99"/>
    <w:rPr>
      <w:rFonts w:ascii="宋体" w:eastAsia="宋体"/>
      <w:sz w:val="18"/>
      <w:szCs w:val="18"/>
    </w:rPr>
  </w:style>
  <w:style w:type="character" w:customStyle="1" w:styleId="27">
    <w:name w:val="批注框文本 Char"/>
    <w:link w:val="6"/>
    <w:semiHidden/>
    <w:uiPriority w:val="99"/>
    <w:rPr>
      <w:sz w:val="18"/>
      <w:szCs w:val="18"/>
    </w:rPr>
  </w:style>
  <w:style w:type="character" w:customStyle="1" w:styleId="28">
    <w:name w:val="页脚 Char"/>
    <w:link w:val="7"/>
    <w:uiPriority w:val="99"/>
    <w:rPr>
      <w:sz w:val="18"/>
      <w:szCs w:val="18"/>
    </w:rPr>
  </w:style>
  <w:style w:type="character" w:customStyle="1" w:styleId="29">
    <w:name w:val="页眉 Char"/>
    <w:link w:val="8"/>
    <w:uiPriority w:val="99"/>
    <w:rPr>
      <w:sz w:val="18"/>
      <w:szCs w:val="18"/>
    </w:rPr>
  </w:style>
  <w:style w:type="character" w:customStyle="1" w:styleId="30">
    <w:name w:val="脚注文本 Char"/>
    <w:link w:val="9"/>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theme" Target="theme/theme1.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72</Pages>
  <Words>10475</Words>
  <Characters>59710</Characters>
  <Lines>497</Lines>
  <Paragraphs>140</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2015-07-23T08:25:00Z</dcterms:created>
  <dc:creator>LENOVO User</dc:creator>
  <cp:lastModifiedBy>Administrator</cp:lastModifiedBy>
  <cp:lastPrinted>2014-07-28T02:33:00Z</cp:lastPrinted>
  <dcterms:modified xsi:type="dcterms:W3CDTF">2015-07-27T04:05:56Z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